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3A1A" w14:textId="0B75A4B6" w:rsidR="00817ADF" w:rsidRPr="00817ADF" w:rsidRDefault="00817ADF" w:rsidP="00817ADF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0</w:t>
      </w:r>
      <w:r w:rsidR="00B14961">
        <w:rPr>
          <w:rFonts w:ascii="Arial" w:hAnsi="Arial" w:cs="Arial"/>
          <w:b/>
          <w:bCs/>
          <w:color w:val="000000"/>
        </w:rPr>
        <w:t>3</w:t>
      </w:r>
      <w:r w:rsidRPr="00817ADF">
        <w:rPr>
          <w:rFonts w:ascii="Arial" w:hAnsi="Arial" w:cs="Arial"/>
          <w:b/>
          <w:bCs/>
          <w:color w:val="000000"/>
        </w:rPr>
        <w:t xml:space="preserve">/2022. </w:t>
      </w:r>
    </w:p>
    <w:p w14:paraId="1874D54A" w14:textId="552741C3" w:rsidR="00817ADF" w:rsidRPr="00817ADF" w:rsidRDefault="00817ADF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E12B36C" w14:textId="77777777" w:rsidR="00817ADF" w:rsidRPr="00817ADF" w:rsidRDefault="00817ADF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AF58849" w14:textId="6DDBE52C" w:rsidR="00D70B6C" w:rsidRDefault="00CB6C69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ACUERDO NÚMERO 0</w:t>
      </w:r>
      <w:r w:rsidR="00D70B6C">
        <w:rPr>
          <w:rFonts w:ascii="Arial" w:hAnsi="Arial" w:cs="Arial"/>
          <w:b/>
          <w:bCs/>
          <w:color w:val="000000"/>
        </w:rPr>
        <w:t>3</w:t>
      </w:r>
      <w:r w:rsidRPr="00817ADF">
        <w:rPr>
          <w:rFonts w:ascii="Arial" w:hAnsi="Arial" w:cs="Arial"/>
          <w:b/>
          <w:bCs/>
          <w:color w:val="000000"/>
        </w:rPr>
        <w:t>/202</w:t>
      </w:r>
      <w:r w:rsidR="003E47A4" w:rsidRPr="00817ADF">
        <w:rPr>
          <w:rFonts w:ascii="Arial" w:hAnsi="Arial" w:cs="Arial"/>
          <w:b/>
          <w:bCs/>
          <w:color w:val="000000"/>
        </w:rPr>
        <w:t>2</w:t>
      </w:r>
      <w:r w:rsidRPr="00817ADF">
        <w:rPr>
          <w:rFonts w:ascii="Arial" w:hAnsi="Arial" w:cs="Arial"/>
          <w:b/>
          <w:bCs/>
          <w:color w:val="000000"/>
        </w:rPr>
        <w:t xml:space="preserve"> DEL ÓRGANO INTERNO DE CONTROL DE LA COMISIÓN DE TRANSPARENCIA Y ACCESO A LA INFORMACIÓN DEL ESTADO DE NUEVO LEÓN, MEDIANTE EL CUAL </w:t>
      </w:r>
      <w:r w:rsidR="00D70B6C">
        <w:rPr>
          <w:rFonts w:ascii="Arial" w:hAnsi="Arial" w:cs="Arial"/>
          <w:b/>
          <w:bCs/>
          <w:color w:val="000000"/>
        </w:rPr>
        <w:t xml:space="preserve">SE ESTABLECEN LOS MECANISMOS DE RECEPCIÓN DE CORRESPONDENCIA DE LAS UNIDADES ADMINISTRATIVAS QUE CONFORMAN EL ÓRGANO INTERNO DE CONTROL DE LA COMISIÓN DE TRANSPARENCIA Y ACCESO A LA INFORMACIÓN DEL ESTADO DE NUEVO LEÓN. </w:t>
      </w:r>
    </w:p>
    <w:p w14:paraId="53010F5D" w14:textId="60B3B3D4" w:rsidR="00CB6C69" w:rsidRPr="00817ADF" w:rsidRDefault="00CB6C69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EDA82B5" w14:textId="77777777" w:rsidR="00D5681A" w:rsidRPr="00817ADF" w:rsidRDefault="00D5681A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6AB732A8" w14:textId="371D19AA" w:rsidR="00CB6C69" w:rsidRPr="00817ADF" w:rsidRDefault="00CB6C69" w:rsidP="00D5681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ANTECEDENTES</w:t>
      </w:r>
    </w:p>
    <w:p w14:paraId="726E61A0" w14:textId="77777777" w:rsidR="00D5681A" w:rsidRPr="00817ADF" w:rsidRDefault="00D5681A" w:rsidP="00D5681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0F50A66B" w14:textId="5122F07E" w:rsidR="00817ADF" w:rsidRDefault="00AA383C" w:rsidP="00AE3A01">
      <w:pPr>
        <w:shd w:val="clear" w:color="auto" w:fill="FFFFFF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PRIMERO</w:t>
      </w:r>
      <w:r w:rsidR="00817ADF" w:rsidRPr="00817ADF">
        <w:rPr>
          <w:rFonts w:ascii="Arial" w:hAnsi="Arial" w:cs="Arial"/>
          <w:b/>
          <w:bCs/>
        </w:rPr>
        <w:t>.</w:t>
      </w:r>
      <w:r w:rsidR="00817ADF">
        <w:rPr>
          <w:rFonts w:ascii="Arial" w:hAnsi="Arial" w:cs="Arial"/>
          <w:b/>
          <w:bCs/>
        </w:rPr>
        <w:t xml:space="preserve"> </w:t>
      </w:r>
      <w:r w:rsidR="00AE3A01">
        <w:rPr>
          <w:rFonts w:ascii="Arial" w:hAnsi="Arial" w:cs="Arial"/>
        </w:rPr>
        <w:t>En fecha 15 quince de junio de 2018 dos mil dieciocho</w:t>
      </w:r>
      <w:r w:rsidR="009425A6">
        <w:rPr>
          <w:rFonts w:ascii="Arial" w:hAnsi="Arial" w:cs="Arial"/>
        </w:rPr>
        <w:t>,</w:t>
      </w:r>
      <w:r w:rsidR="00AE3A01">
        <w:rPr>
          <w:rFonts w:ascii="Arial" w:hAnsi="Arial" w:cs="Arial"/>
        </w:rPr>
        <w:t xml:space="preserve"> fue publicada en el </w:t>
      </w:r>
      <w:r w:rsidR="00AE3A01" w:rsidRPr="00AE3A01">
        <w:rPr>
          <w:rFonts w:ascii="Arial" w:hAnsi="Arial" w:cs="Arial"/>
        </w:rPr>
        <w:t xml:space="preserve">Diario Oficial de la Federación </w:t>
      </w:r>
      <w:r w:rsidR="00AE3A01">
        <w:rPr>
          <w:rFonts w:ascii="Arial" w:hAnsi="Arial" w:cs="Arial"/>
        </w:rPr>
        <w:t xml:space="preserve">la </w:t>
      </w:r>
      <w:r w:rsidR="00AE3A01">
        <w:rPr>
          <w:rFonts w:ascii="Arial" w:hAnsi="Arial" w:cs="Arial"/>
          <w:i/>
          <w:iCs/>
        </w:rPr>
        <w:t xml:space="preserve">Ley General de Archivos </w:t>
      </w:r>
      <w:r w:rsidR="00AE3A01">
        <w:rPr>
          <w:rFonts w:ascii="Arial" w:hAnsi="Arial" w:cs="Arial"/>
        </w:rPr>
        <w:t xml:space="preserve">misma que entró en </w:t>
      </w:r>
      <w:r w:rsidR="00AE3A01" w:rsidRPr="00AE3A01">
        <w:rPr>
          <w:rFonts w:ascii="Arial" w:hAnsi="Arial" w:cs="Arial"/>
        </w:rPr>
        <w:t>vigor a los 365 días siguientes contados a partir de dicha publicación.</w:t>
      </w:r>
      <w:r w:rsidR="00AE3A01">
        <w:rPr>
          <w:rFonts w:ascii="Arial" w:hAnsi="Arial" w:cs="Arial"/>
          <w:i/>
          <w:iCs/>
        </w:rPr>
        <w:t xml:space="preserve"> </w:t>
      </w:r>
    </w:p>
    <w:p w14:paraId="519A3B2F" w14:textId="7D7644BF" w:rsidR="00AE3A01" w:rsidRDefault="00AE3A01" w:rsidP="00AE3A01">
      <w:pPr>
        <w:shd w:val="clear" w:color="auto" w:fill="FFFFFF"/>
        <w:jc w:val="both"/>
        <w:rPr>
          <w:rFonts w:ascii="Arial" w:hAnsi="Arial" w:cs="Arial"/>
        </w:rPr>
      </w:pPr>
    </w:p>
    <w:p w14:paraId="3D38535D" w14:textId="77777777" w:rsidR="00AE3A01" w:rsidRPr="00AE3A01" w:rsidRDefault="00AE3A01" w:rsidP="00AE3A01">
      <w:pPr>
        <w:shd w:val="clear" w:color="auto" w:fill="FFFFFF"/>
        <w:jc w:val="both"/>
        <w:rPr>
          <w:rFonts w:ascii="Arial" w:hAnsi="Arial" w:cs="Arial"/>
        </w:rPr>
      </w:pPr>
    </w:p>
    <w:p w14:paraId="1F58E1CA" w14:textId="3ECC93AD" w:rsidR="00427878" w:rsidRPr="00427878" w:rsidRDefault="00AA383C" w:rsidP="0042787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SEGUNDO</w:t>
      </w:r>
      <w:r w:rsidR="00817ADF" w:rsidRPr="00817ADF">
        <w:rPr>
          <w:rFonts w:ascii="Arial" w:hAnsi="Arial" w:cs="Arial"/>
          <w:b/>
          <w:bCs/>
        </w:rPr>
        <w:t xml:space="preserve">. </w:t>
      </w:r>
      <w:r w:rsidR="004A3161">
        <w:rPr>
          <w:rFonts w:ascii="Arial" w:hAnsi="Arial" w:cs="Arial"/>
        </w:rPr>
        <w:t>A raíz de lo anterior</w:t>
      </w:r>
      <w:r w:rsidR="00AE3A01">
        <w:rPr>
          <w:rFonts w:ascii="Arial" w:hAnsi="Arial" w:cs="Arial"/>
        </w:rPr>
        <w:t xml:space="preserve">, </w:t>
      </w:r>
      <w:r w:rsidR="00427878">
        <w:rPr>
          <w:rFonts w:ascii="Arial" w:hAnsi="Arial" w:cs="Arial"/>
        </w:rPr>
        <w:t xml:space="preserve">el 04 cuatro de noviembre de 2019 dos mil diecinueve fue publicada en el </w:t>
      </w:r>
      <w:r w:rsidR="00427878" w:rsidRPr="00427878">
        <w:rPr>
          <w:rFonts w:ascii="Arial" w:hAnsi="Arial" w:cs="Arial"/>
        </w:rPr>
        <w:t>Periódico Oficial</w:t>
      </w:r>
      <w:r w:rsidR="00427878">
        <w:rPr>
          <w:rFonts w:ascii="Arial" w:hAnsi="Arial" w:cs="Arial"/>
        </w:rPr>
        <w:t xml:space="preserve"> del Estado la </w:t>
      </w:r>
      <w:r w:rsidR="00427878">
        <w:rPr>
          <w:rFonts w:ascii="Arial" w:hAnsi="Arial" w:cs="Arial"/>
          <w:i/>
          <w:iCs/>
        </w:rPr>
        <w:t xml:space="preserve">Ley de Archivos para el Estado de Nuevo León, </w:t>
      </w:r>
      <w:r w:rsidR="00427878" w:rsidRPr="00427878">
        <w:rPr>
          <w:rFonts w:ascii="Arial" w:hAnsi="Arial" w:cs="Arial"/>
        </w:rPr>
        <w:t>la cua</w:t>
      </w:r>
      <w:r w:rsidR="00427878">
        <w:rPr>
          <w:rFonts w:ascii="Arial" w:hAnsi="Arial" w:cs="Arial"/>
        </w:rPr>
        <w:t xml:space="preserve">l entró en vigor </w:t>
      </w:r>
      <w:r w:rsidR="00427878" w:rsidRPr="00427878">
        <w:rPr>
          <w:rFonts w:ascii="Arial" w:hAnsi="Arial" w:cs="Arial"/>
        </w:rPr>
        <w:t>a los 365 días hábiles siguientes</w:t>
      </w:r>
      <w:r w:rsidR="00427878">
        <w:rPr>
          <w:rFonts w:ascii="Arial" w:hAnsi="Arial" w:cs="Arial"/>
        </w:rPr>
        <w:t xml:space="preserve"> </w:t>
      </w:r>
      <w:r w:rsidR="00427878" w:rsidRPr="00427878">
        <w:rPr>
          <w:rFonts w:ascii="Arial" w:hAnsi="Arial" w:cs="Arial"/>
        </w:rPr>
        <w:t>contados a partir del día siguiente de su publicación</w:t>
      </w:r>
      <w:r w:rsidR="00427878">
        <w:rPr>
          <w:rFonts w:ascii="Arial" w:hAnsi="Arial" w:cs="Arial"/>
        </w:rPr>
        <w:t xml:space="preserve">. </w:t>
      </w:r>
    </w:p>
    <w:p w14:paraId="5135AC00" w14:textId="2AD06C2A" w:rsidR="00AE3A01" w:rsidRDefault="00AE3A01" w:rsidP="003E47A4">
      <w:pPr>
        <w:shd w:val="clear" w:color="auto" w:fill="FFFFFF"/>
        <w:jc w:val="both"/>
        <w:rPr>
          <w:rFonts w:ascii="Arial" w:hAnsi="Arial" w:cs="Arial"/>
        </w:rPr>
      </w:pPr>
    </w:p>
    <w:p w14:paraId="18D24A9F" w14:textId="77777777" w:rsidR="0053114A" w:rsidRPr="00AE3A01" w:rsidRDefault="0053114A" w:rsidP="003E47A4">
      <w:pPr>
        <w:shd w:val="clear" w:color="auto" w:fill="FFFFFF"/>
        <w:jc w:val="both"/>
        <w:rPr>
          <w:rFonts w:ascii="Arial" w:hAnsi="Arial" w:cs="Arial"/>
        </w:rPr>
      </w:pPr>
    </w:p>
    <w:p w14:paraId="3B2938F5" w14:textId="33846C31" w:rsidR="00AA383C" w:rsidRPr="00270718" w:rsidRDefault="00AA383C" w:rsidP="0027071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TERCERO</w:t>
      </w:r>
      <w:r w:rsidR="003E47A4" w:rsidRPr="00817ADF">
        <w:rPr>
          <w:rFonts w:ascii="Arial" w:hAnsi="Arial" w:cs="Arial"/>
          <w:b/>
          <w:bCs/>
        </w:rPr>
        <w:t xml:space="preserve">. </w:t>
      </w:r>
      <w:r w:rsidR="004A3161">
        <w:rPr>
          <w:rFonts w:ascii="Arial" w:hAnsi="Arial" w:cs="Arial"/>
        </w:rPr>
        <w:t>Posteriormente</w:t>
      </w:r>
      <w:r w:rsidRPr="00270718">
        <w:rPr>
          <w:rFonts w:ascii="Arial" w:hAnsi="Arial" w:cs="Arial"/>
        </w:rPr>
        <w:t xml:space="preserve">, mediante la vigésima octava sesión ordinaria del Pleno de la Comisión de Transparencia y Acceso a la Información del Estado, celebrada el 20 veinte de agosto de 2020 dos mil veinte, </w:t>
      </w:r>
      <w:r w:rsidR="00270718" w:rsidRPr="00270718">
        <w:rPr>
          <w:rFonts w:ascii="Arial" w:hAnsi="Arial" w:cs="Arial"/>
        </w:rPr>
        <w:t xml:space="preserve">se acordó —entre otras cosas— la emisión del </w:t>
      </w:r>
      <w:r w:rsidR="00270718" w:rsidRPr="00270718">
        <w:rPr>
          <w:rFonts w:ascii="Arial" w:hAnsi="Arial" w:cs="Arial"/>
          <w:i/>
          <w:iCs/>
        </w:rPr>
        <w:t>Manual de Gestión Documental de la Comisión de Transparencia y Acceso a la Información del Estado de Nuevo León</w:t>
      </w:r>
      <w:r w:rsidR="00270718">
        <w:rPr>
          <w:rFonts w:ascii="Arial" w:hAnsi="Arial" w:cs="Arial"/>
        </w:rPr>
        <w:t xml:space="preserve">, determinándose que dicho instrumento entraría </w:t>
      </w:r>
      <w:r w:rsidR="00270718" w:rsidRPr="00270718">
        <w:rPr>
          <w:rFonts w:ascii="Arial" w:hAnsi="Arial" w:cs="Arial"/>
        </w:rPr>
        <w:t>en vigor a los 90 noventa días naturales siguientes de su aprobación</w:t>
      </w:r>
      <w:r w:rsidR="00270718">
        <w:rPr>
          <w:rFonts w:ascii="Arial" w:hAnsi="Arial" w:cs="Arial"/>
        </w:rPr>
        <w:t xml:space="preserve">. </w:t>
      </w:r>
    </w:p>
    <w:p w14:paraId="58D5274D" w14:textId="77777777" w:rsidR="0053114A" w:rsidRPr="00817ADF" w:rsidRDefault="0053114A" w:rsidP="003E47A4">
      <w:pPr>
        <w:shd w:val="clear" w:color="auto" w:fill="FFFFFF"/>
        <w:jc w:val="both"/>
        <w:rPr>
          <w:rFonts w:ascii="Arial" w:hAnsi="Arial" w:cs="Arial"/>
        </w:rPr>
      </w:pPr>
    </w:p>
    <w:p w14:paraId="370E32DD" w14:textId="77777777" w:rsidR="00F20564" w:rsidRPr="00817ADF" w:rsidRDefault="00F20564" w:rsidP="003E47A4">
      <w:pPr>
        <w:shd w:val="clear" w:color="auto" w:fill="FFFFFF"/>
        <w:jc w:val="both"/>
        <w:rPr>
          <w:rFonts w:ascii="Arial" w:hAnsi="Arial" w:cs="Arial"/>
        </w:rPr>
      </w:pPr>
    </w:p>
    <w:p w14:paraId="648CE0A5" w14:textId="01A3C768" w:rsidR="00CB6C69" w:rsidRPr="00817ADF" w:rsidRDefault="00CB6C69" w:rsidP="00D5681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CONSIDERANDO</w:t>
      </w:r>
    </w:p>
    <w:p w14:paraId="03258C2B" w14:textId="77777777" w:rsidR="00D5681A" w:rsidRPr="00817ADF" w:rsidRDefault="00D5681A" w:rsidP="00D5681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0E9F9D44" w14:textId="52AF5599" w:rsidR="00D5681A" w:rsidRPr="00817ADF" w:rsidRDefault="00CB6C69" w:rsidP="00BD2C8C">
      <w:pPr>
        <w:pStyle w:val="NormalWeb"/>
        <w:jc w:val="both"/>
        <w:rPr>
          <w:rFonts w:ascii="Arial" w:hAnsi="Arial" w:cs="Arial"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PRIMERO</w:t>
      </w:r>
      <w:r w:rsidRPr="00817ADF">
        <w:rPr>
          <w:rFonts w:ascii="Arial" w:hAnsi="Arial" w:cs="Arial"/>
          <w:color w:val="000000"/>
        </w:rPr>
        <w:t xml:space="preserve">. En términos de lo establecido en </w:t>
      </w:r>
      <w:r w:rsidR="004A132F" w:rsidRPr="00817ADF">
        <w:rPr>
          <w:rFonts w:ascii="Arial" w:hAnsi="Arial" w:cs="Arial"/>
          <w:color w:val="000000"/>
        </w:rPr>
        <w:t>los numerales 10, 11,</w:t>
      </w:r>
      <w:r w:rsidR="009569CD">
        <w:rPr>
          <w:rFonts w:ascii="Arial" w:hAnsi="Arial" w:cs="Arial"/>
          <w:color w:val="000000"/>
        </w:rPr>
        <w:t xml:space="preserve"> fracción II</w:t>
      </w:r>
      <w:r w:rsidR="00BD2C8C">
        <w:rPr>
          <w:rFonts w:ascii="Arial" w:hAnsi="Arial" w:cs="Arial"/>
          <w:color w:val="000000"/>
        </w:rPr>
        <w:t xml:space="preserve"> y </w:t>
      </w:r>
      <w:r w:rsidR="004A132F" w:rsidRPr="00817ADF">
        <w:rPr>
          <w:rFonts w:ascii="Arial" w:hAnsi="Arial" w:cs="Arial"/>
          <w:color w:val="000000"/>
        </w:rPr>
        <w:t xml:space="preserve">12 de la </w:t>
      </w:r>
      <w:r w:rsidR="004A132F" w:rsidRPr="00817ADF">
        <w:rPr>
          <w:rFonts w:ascii="Arial" w:hAnsi="Arial" w:cs="Arial"/>
          <w:i/>
          <w:iCs/>
          <w:color w:val="000000"/>
        </w:rPr>
        <w:t xml:space="preserve">Ley de Archivos para el Estado de Nuevo León, </w:t>
      </w:r>
      <w:r w:rsidR="004A132F" w:rsidRPr="00817ADF">
        <w:rPr>
          <w:rFonts w:ascii="Arial" w:hAnsi="Arial" w:cs="Arial"/>
          <w:color w:val="000000"/>
        </w:rPr>
        <w:t xml:space="preserve">corresponde a la Comisión de Transparencia y Acceso a la Información del Estado de Nuevo León, en su calidad de sujeto obligado </w:t>
      </w:r>
      <w:r w:rsidR="009569CD" w:rsidRPr="009569CD">
        <w:rPr>
          <w:rFonts w:ascii="Arial" w:hAnsi="Arial" w:cs="Arial"/>
          <w:color w:val="000000"/>
        </w:rPr>
        <w:t>—</w:t>
      </w:r>
      <w:r w:rsidR="004A132F" w:rsidRPr="00817ADF">
        <w:rPr>
          <w:rFonts w:ascii="Arial" w:hAnsi="Arial" w:cs="Arial"/>
          <w:color w:val="000000"/>
        </w:rPr>
        <w:t>entre otras cosas</w:t>
      </w:r>
      <w:r w:rsidR="009569CD" w:rsidRPr="009569CD">
        <w:rPr>
          <w:rFonts w:ascii="Arial" w:hAnsi="Arial" w:cs="Arial"/>
          <w:color w:val="000000"/>
        </w:rPr>
        <w:t>—</w:t>
      </w:r>
      <w:r w:rsidR="004A132F" w:rsidRPr="00817ADF">
        <w:rPr>
          <w:rFonts w:ascii="Arial" w:hAnsi="Arial" w:cs="Arial"/>
          <w:color w:val="000000"/>
        </w:rPr>
        <w:t xml:space="preserve"> </w:t>
      </w:r>
      <w:r w:rsidR="00BD2C8C">
        <w:rPr>
          <w:rFonts w:ascii="Arial" w:hAnsi="Arial" w:cs="Arial"/>
          <w:color w:val="000000"/>
        </w:rPr>
        <w:t>e</w:t>
      </w:r>
      <w:r w:rsidR="00BD2C8C" w:rsidRPr="00BD2C8C">
        <w:rPr>
          <w:rFonts w:ascii="Arial" w:hAnsi="Arial" w:cs="Arial"/>
          <w:color w:val="000000"/>
        </w:rPr>
        <w:t>stablecer un sistema institucional para la administración de sus archivos y</w:t>
      </w:r>
      <w:r w:rsidR="00BD2C8C">
        <w:rPr>
          <w:rFonts w:ascii="Arial" w:hAnsi="Arial" w:cs="Arial"/>
          <w:color w:val="000000"/>
        </w:rPr>
        <w:t xml:space="preserve"> </w:t>
      </w:r>
      <w:r w:rsidR="00BD2C8C" w:rsidRPr="00BD2C8C">
        <w:rPr>
          <w:rFonts w:ascii="Arial" w:hAnsi="Arial" w:cs="Arial"/>
          <w:color w:val="000000"/>
        </w:rPr>
        <w:t>llevar a cabo los procesos de gestión documental</w:t>
      </w:r>
      <w:r w:rsidR="00BD2C8C">
        <w:rPr>
          <w:rFonts w:ascii="Arial" w:hAnsi="Arial" w:cs="Arial"/>
          <w:color w:val="000000"/>
        </w:rPr>
        <w:t xml:space="preserve">. Y, para efecto de cumplir con dicha obligación, fue emitido, como se dijo, el </w:t>
      </w:r>
      <w:r w:rsidR="00BD2C8C" w:rsidRPr="00270718">
        <w:rPr>
          <w:rFonts w:ascii="Arial" w:hAnsi="Arial" w:cs="Arial"/>
          <w:i/>
          <w:iCs/>
        </w:rPr>
        <w:t>Manual de Gestión Documental de la Comisión de Transparencia y Acceso a la Información del Estado de Nuevo León</w:t>
      </w:r>
      <w:r w:rsidR="00BD2C8C">
        <w:rPr>
          <w:rFonts w:ascii="Arial" w:hAnsi="Arial" w:cs="Arial"/>
          <w:i/>
          <w:iCs/>
        </w:rPr>
        <w:t>.</w:t>
      </w:r>
    </w:p>
    <w:p w14:paraId="6DFE73BF" w14:textId="7A375F40" w:rsidR="004E2CF1" w:rsidRPr="002902E6" w:rsidRDefault="00CB6C69" w:rsidP="00EB0F9F">
      <w:pPr>
        <w:widowControl w:val="0"/>
        <w:jc w:val="both"/>
      </w:pPr>
      <w:r w:rsidRPr="00817ADF">
        <w:rPr>
          <w:rFonts w:ascii="Arial" w:hAnsi="Arial" w:cs="Arial"/>
          <w:b/>
          <w:bCs/>
          <w:color w:val="000000"/>
        </w:rPr>
        <w:lastRenderedPageBreak/>
        <w:t xml:space="preserve">SEGUNDO. </w:t>
      </w:r>
      <w:r w:rsidR="004E2CF1" w:rsidRPr="002902E6">
        <w:rPr>
          <w:rFonts w:ascii="Arial" w:eastAsia="Calibri" w:hAnsi="Arial" w:cs="Arial"/>
          <w:lang w:val="es-MX" w:eastAsia="es-MX"/>
        </w:rPr>
        <w:t xml:space="preserve">De conformidad con lo dispuesto en los artículos 109, fracción III, de la </w:t>
      </w:r>
      <w:r w:rsidR="004E2CF1" w:rsidRPr="002902E6">
        <w:rPr>
          <w:rFonts w:ascii="Arial" w:eastAsia="Calibri" w:hAnsi="Arial" w:cs="Arial"/>
          <w:i/>
          <w:lang w:val="es-MX" w:eastAsia="es-MX"/>
        </w:rPr>
        <w:t xml:space="preserve">Constitución Política de los Estados Unidos Mexicanos, </w:t>
      </w:r>
      <w:r w:rsidR="004E2CF1" w:rsidRPr="002902E6">
        <w:rPr>
          <w:rFonts w:ascii="Arial" w:eastAsia="Calibri" w:hAnsi="Arial" w:cs="Arial"/>
          <w:iCs/>
          <w:lang w:val="es-MX" w:eastAsia="es-MX"/>
        </w:rPr>
        <w:t xml:space="preserve">107, fracción III, de la </w:t>
      </w:r>
      <w:r w:rsidR="004E2CF1" w:rsidRPr="002902E6">
        <w:rPr>
          <w:rFonts w:ascii="Arial" w:eastAsia="Calibri" w:hAnsi="Arial" w:cs="Arial"/>
          <w:i/>
          <w:lang w:val="es-MX" w:eastAsia="es-MX"/>
        </w:rPr>
        <w:t>Constitución Política del Estado Libre y Soberano de Nuevo León</w:t>
      </w:r>
      <w:r w:rsidR="004E2CF1" w:rsidRPr="002902E6">
        <w:rPr>
          <w:rFonts w:ascii="Arial" w:eastAsia="Calibri" w:hAnsi="Arial" w:cs="Arial"/>
          <w:iCs/>
          <w:lang w:val="es-MX" w:eastAsia="es-MX"/>
        </w:rPr>
        <w:t xml:space="preserve">, </w:t>
      </w:r>
      <w:r w:rsidR="004E2CF1" w:rsidRPr="002902E6">
        <w:rPr>
          <w:rFonts w:ascii="Arial" w:eastAsia="Calibri" w:hAnsi="Arial" w:cs="Arial"/>
          <w:lang w:val="es-MX" w:eastAsia="es-MX"/>
        </w:rPr>
        <w:t xml:space="preserve">así como 55 del </w:t>
      </w:r>
      <w:r w:rsidR="004E2CF1" w:rsidRPr="002902E6">
        <w:rPr>
          <w:rFonts w:ascii="Arial" w:eastAsia="Calibri" w:hAnsi="Arial" w:cs="Arial"/>
          <w:i/>
          <w:lang w:val="es-MX" w:eastAsia="es-MX"/>
        </w:rPr>
        <w:t>Reglamento Interno de la Comisión de Transparencia y Acceso a la Información del Estado de Nuevo León</w:t>
      </w:r>
      <w:r w:rsidR="004E2CF1" w:rsidRPr="002902E6">
        <w:rPr>
          <w:rFonts w:ascii="Arial" w:eastAsia="Calibri" w:hAnsi="Arial" w:cs="Arial"/>
          <w:lang w:val="es-MX" w:eastAsia="es-MX"/>
        </w:rPr>
        <w:t>, el Órgano Interno de Control de la Comisión de Transparencia y Acceso a la Información del Estado de Nuevo León</w:t>
      </w:r>
      <w:r w:rsidR="004A3161">
        <w:rPr>
          <w:rFonts w:ascii="Arial" w:eastAsia="Calibri" w:hAnsi="Arial" w:cs="Arial"/>
          <w:lang w:val="es-MX" w:eastAsia="es-MX"/>
        </w:rPr>
        <w:t>,</w:t>
      </w:r>
      <w:r w:rsidR="004E2CF1" w:rsidRPr="002902E6">
        <w:rPr>
          <w:rFonts w:ascii="Arial" w:eastAsia="Calibri" w:hAnsi="Arial" w:cs="Arial"/>
          <w:lang w:val="es-MX" w:eastAsia="es-MX"/>
        </w:rPr>
        <w:t xml:space="preserve"> es la unidad a cargo de promover, evaluar y fortalecer el buen funcionamiento del control interno, para que la gestión del órgano garante se realice de una manera eficiente y con apego al presupuesto, programas y normatividad aplicable.</w:t>
      </w:r>
    </w:p>
    <w:p w14:paraId="55AB626E" w14:textId="77777777" w:rsidR="004E2CF1" w:rsidRPr="002902E6" w:rsidRDefault="004E2CF1" w:rsidP="00EB0F9F">
      <w:pPr>
        <w:widowControl w:val="0"/>
        <w:jc w:val="both"/>
        <w:rPr>
          <w:rFonts w:ascii="Arial" w:eastAsia="Calibri" w:hAnsi="Arial" w:cs="Arial"/>
          <w:lang w:val="es-MX" w:eastAsia="es-MX"/>
        </w:rPr>
      </w:pPr>
    </w:p>
    <w:p w14:paraId="2AEBF7BE" w14:textId="77777777" w:rsidR="004E2CF1" w:rsidRPr="002902E6" w:rsidRDefault="004E2CF1" w:rsidP="00EB0F9F">
      <w:pPr>
        <w:widowControl w:val="0"/>
        <w:ind w:right="49"/>
        <w:jc w:val="both"/>
      </w:pPr>
      <w:r w:rsidRPr="002902E6">
        <w:rPr>
          <w:rFonts w:ascii="Arial" w:eastAsia="Calibri" w:hAnsi="Arial" w:cs="Arial"/>
          <w:lang w:val="es-MX" w:eastAsia="es-MX"/>
        </w:rPr>
        <w:t>También, es la autoridad competente para substanciar los procedimientos de responsabilidad administrativa que se inicien en la Comisión de Transparencia y Acceso a la Información del Estado de Nuevo León</w:t>
      </w:r>
      <w:r w:rsidRPr="002902E6">
        <w:rPr>
          <w:rFonts w:ascii="Arial" w:eastAsia="Calibri" w:hAnsi="Arial" w:cs="Arial"/>
          <w:i/>
          <w:lang w:val="es-MX" w:eastAsia="es-MX"/>
        </w:rPr>
        <w:t xml:space="preserve"> </w:t>
      </w:r>
      <w:r w:rsidRPr="002902E6">
        <w:rPr>
          <w:rFonts w:ascii="Arial" w:eastAsia="Calibri" w:hAnsi="Arial" w:cs="Arial"/>
          <w:lang w:val="es-MX" w:eastAsia="es-MX"/>
        </w:rPr>
        <w:t>y se encargará de resolver dichos procedimientos en términos de</w:t>
      </w:r>
      <w:r w:rsidRPr="002902E6">
        <w:rPr>
          <w:rFonts w:ascii="Arial" w:eastAsia="Calibri" w:hAnsi="Arial" w:cs="Arial"/>
          <w:i/>
          <w:lang w:val="es-MX" w:eastAsia="es-MX"/>
        </w:rPr>
        <w:t xml:space="preserve"> </w:t>
      </w:r>
      <w:r w:rsidRPr="002902E6">
        <w:rPr>
          <w:rFonts w:ascii="Arial" w:eastAsia="Calibri" w:hAnsi="Arial" w:cs="Arial"/>
          <w:lang w:val="es-MX" w:eastAsia="es-MX"/>
        </w:rPr>
        <w:t xml:space="preserve">lo dispuesto en la </w:t>
      </w:r>
      <w:bookmarkStart w:id="0" w:name="_Hlk93683704"/>
      <w:r w:rsidRPr="002902E6">
        <w:rPr>
          <w:rFonts w:ascii="Arial" w:eastAsia="Calibri" w:hAnsi="Arial" w:cs="Arial"/>
          <w:i/>
          <w:lang w:val="es-MX" w:eastAsia="es-MX"/>
        </w:rPr>
        <w:t>Ley de Responsabilidades Administrativas del Estado de Nuevo León</w:t>
      </w:r>
      <w:bookmarkEnd w:id="0"/>
      <w:r w:rsidRPr="002902E6">
        <w:rPr>
          <w:rFonts w:ascii="Arial" w:eastAsia="Calibri" w:hAnsi="Arial" w:cs="Arial"/>
          <w:lang w:val="es-MX" w:eastAsia="es-MX"/>
        </w:rPr>
        <w:t>.</w:t>
      </w:r>
    </w:p>
    <w:p w14:paraId="1D234AEF" w14:textId="1D748727" w:rsidR="004E2CF1" w:rsidRDefault="004E2CF1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1A71AEB3" w14:textId="77777777" w:rsidR="004E2CF1" w:rsidRDefault="004E2CF1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06AE83F" w14:textId="1647C01A" w:rsidR="00D5681A" w:rsidRDefault="004E2CF1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TERCERO</w:t>
      </w:r>
      <w:r>
        <w:rPr>
          <w:rFonts w:ascii="Arial" w:hAnsi="Arial" w:cs="Arial"/>
          <w:b/>
          <w:bCs/>
          <w:color w:val="000000"/>
        </w:rPr>
        <w:t>.</w:t>
      </w:r>
      <w:r w:rsidRPr="00BD2C8C">
        <w:rPr>
          <w:rFonts w:ascii="Arial" w:hAnsi="Arial" w:cs="Arial"/>
          <w:color w:val="000000"/>
        </w:rPr>
        <w:t xml:space="preserve"> </w:t>
      </w:r>
      <w:r w:rsidR="00BD2C8C" w:rsidRPr="00BD2C8C">
        <w:rPr>
          <w:rFonts w:ascii="Arial" w:hAnsi="Arial" w:cs="Arial"/>
          <w:color w:val="000000"/>
        </w:rPr>
        <w:t>Por otro lado,</w:t>
      </w:r>
      <w:r w:rsidR="00BD2C8C">
        <w:rPr>
          <w:rFonts w:ascii="Arial" w:hAnsi="Arial" w:cs="Arial"/>
          <w:b/>
          <w:bCs/>
          <w:color w:val="000000"/>
        </w:rPr>
        <w:t xml:space="preserve"> </w:t>
      </w:r>
      <w:r w:rsidR="00BD2C8C">
        <w:rPr>
          <w:rFonts w:ascii="Arial" w:hAnsi="Arial" w:cs="Arial"/>
          <w:color w:val="000000"/>
        </w:rPr>
        <w:t>e</w:t>
      </w:r>
      <w:r w:rsidR="00CB6C69" w:rsidRPr="00817ADF">
        <w:rPr>
          <w:rFonts w:ascii="Arial" w:hAnsi="Arial" w:cs="Arial"/>
          <w:color w:val="000000"/>
        </w:rPr>
        <w:t xml:space="preserve">l artículo </w:t>
      </w:r>
      <w:r w:rsidR="004A132F" w:rsidRPr="00817ADF">
        <w:rPr>
          <w:rFonts w:ascii="Arial" w:hAnsi="Arial" w:cs="Arial"/>
          <w:color w:val="000000"/>
        </w:rPr>
        <w:t xml:space="preserve">56 del </w:t>
      </w:r>
      <w:r w:rsidR="004A132F" w:rsidRPr="00817ADF">
        <w:rPr>
          <w:rFonts w:ascii="Arial" w:hAnsi="Arial" w:cs="Arial"/>
          <w:i/>
          <w:iCs/>
          <w:color w:val="000000"/>
        </w:rPr>
        <w:t>Reglamento Interior de la Comisión de Transparencia y Acceso a la Información del Estado de Nuevo León</w:t>
      </w:r>
      <w:r w:rsidR="009425A6">
        <w:rPr>
          <w:rFonts w:ascii="Arial" w:hAnsi="Arial" w:cs="Arial"/>
          <w:i/>
          <w:iCs/>
          <w:color w:val="000000"/>
        </w:rPr>
        <w:t>,</w:t>
      </w:r>
      <w:r w:rsidR="004A132F" w:rsidRPr="00817ADF">
        <w:rPr>
          <w:rFonts w:ascii="Arial" w:hAnsi="Arial" w:cs="Arial"/>
          <w:i/>
          <w:iCs/>
          <w:color w:val="000000"/>
        </w:rPr>
        <w:t xml:space="preserve"> </w:t>
      </w:r>
      <w:r w:rsidR="004A132F" w:rsidRPr="00817ADF">
        <w:rPr>
          <w:rFonts w:ascii="Arial" w:hAnsi="Arial" w:cs="Arial"/>
          <w:color w:val="000000"/>
        </w:rPr>
        <w:t xml:space="preserve">dispone que las atribuciones, competencia, estructura y funcionamiento del Órgano Interno de Control de la Comisión, así como la regulación de los procedimientos de responsabilidad administrativa que la misma llevé a cabo, serán establecidas en el Reglamento Interno que para tal efecto expida el Titular de dicho Órgano. </w:t>
      </w:r>
      <w:r w:rsidR="004A132F" w:rsidRPr="00817ADF">
        <w:rPr>
          <w:rFonts w:ascii="Arial" w:hAnsi="Arial" w:cs="Arial"/>
          <w:color w:val="000000"/>
        </w:rPr>
        <w:cr/>
      </w:r>
    </w:p>
    <w:p w14:paraId="4E376442" w14:textId="77777777" w:rsidR="00E76F91" w:rsidRPr="00817ADF" w:rsidRDefault="00E76F91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3FF46ED" w14:textId="6F13364F" w:rsidR="006C6FB7" w:rsidRDefault="004E2CF1" w:rsidP="006C6F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CUARTO</w:t>
      </w:r>
      <w:r w:rsidR="00CB6C69" w:rsidRPr="00817ADF">
        <w:rPr>
          <w:rFonts w:ascii="Arial" w:hAnsi="Arial" w:cs="Arial"/>
          <w:color w:val="000000"/>
        </w:rPr>
        <w:t xml:space="preserve">. </w:t>
      </w:r>
      <w:r w:rsidR="00BE36B9">
        <w:rPr>
          <w:rFonts w:ascii="Arial" w:hAnsi="Arial" w:cs="Arial"/>
          <w:color w:val="000000"/>
        </w:rPr>
        <w:t xml:space="preserve">El numeral 6 del </w:t>
      </w:r>
      <w:r w:rsidR="00BE36B9">
        <w:rPr>
          <w:rFonts w:ascii="Arial" w:hAnsi="Arial" w:cs="Arial"/>
          <w:i/>
          <w:iCs/>
          <w:color w:val="000000"/>
        </w:rPr>
        <w:t xml:space="preserve">Reglamento Interior del Órgano Interno de Control de la Comisión de Transparencia y Acceso a la Información del Estado, </w:t>
      </w:r>
      <w:r w:rsidR="00BE36B9">
        <w:rPr>
          <w:rFonts w:ascii="Arial" w:hAnsi="Arial" w:cs="Arial"/>
          <w:color w:val="000000"/>
        </w:rPr>
        <w:t xml:space="preserve">establece que dicha unidad administrativa </w:t>
      </w:r>
      <w:r w:rsidR="00BE36B9" w:rsidRPr="00BE36B9">
        <w:rPr>
          <w:rFonts w:ascii="Arial" w:hAnsi="Arial" w:cs="Arial"/>
          <w:color w:val="000000"/>
        </w:rPr>
        <w:t>ejercerá sus atribuciones</w:t>
      </w:r>
      <w:r w:rsidR="00BE36B9">
        <w:rPr>
          <w:rFonts w:ascii="Arial" w:hAnsi="Arial" w:cs="Arial"/>
          <w:color w:val="000000"/>
        </w:rPr>
        <w:t xml:space="preserve"> </w:t>
      </w:r>
      <w:r w:rsidR="00BE36B9" w:rsidRPr="00BE36B9">
        <w:rPr>
          <w:rFonts w:ascii="Arial" w:hAnsi="Arial" w:cs="Arial"/>
          <w:color w:val="000000"/>
        </w:rPr>
        <w:t>con autonomía técnica y de gestión, sin depender de criterios u opiniones de</w:t>
      </w:r>
      <w:r w:rsidR="00BE36B9">
        <w:rPr>
          <w:rFonts w:ascii="Arial" w:hAnsi="Arial" w:cs="Arial"/>
          <w:color w:val="000000"/>
        </w:rPr>
        <w:t xml:space="preserve"> </w:t>
      </w:r>
      <w:r w:rsidR="00BE36B9" w:rsidRPr="00BE36B9">
        <w:rPr>
          <w:rFonts w:ascii="Arial" w:hAnsi="Arial" w:cs="Arial"/>
          <w:color w:val="000000"/>
        </w:rPr>
        <w:t xml:space="preserve">terceras personas. </w:t>
      </w:r>
      <w:r w:rsidR="00BE36B9" w:rsidRPr="00BE36B9">
        <w:rPr>
          <w:rFonts w:ascii="Arial" w:hAnsi="Arial" w:cs="Arial"/>
          <w:color w:val="000000"/>
        </w:rPr>
        <w:cr/>
      </w:r>
    </w:p>
    <w:p w14:paraId="38F587CA" w14:textId="77777777" w:rsidR="006C6FB7" w:rsidRDefault="006C6FB7" w:rsidP="006C6FB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7DBC91F" w14:textId="60BE863D" w:rsidR="00CB6C69" w:rsidRPr="00817ADF" w:rsidRDefault="00EB0F9F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QUINTO</w:t>
      </w:r>
      <w:r w:rsidR="00BE36B9">
        <w:rPr>
          <w:rFonts w:ascii="Arial" w:hAnsi="Arial" w:cs="Arial"/>
          <w:b/>
          <w:bCs/>
          <w:color w:val="000000"/>
        </w:rPr>
        <w:t xml:space="preserve">. </w:t>
      </w:r>
      <w:r w:rsidR="00E07866" w:rsidRPr="00817ADF">
        <w:rPr>
          <w:rFonts w:ascii="Arial" w:hAnsi="Arial" w:cs="Arial"/>
          <w:color w:val="000000"/>
        </w:rPr>
        <w:t xml:space="preserve">En atención a lo dispuesto en el artículo 15, fracción III, del </w:t>
      </w:r>
      <w:r w:rsidR="00E07866" w:rsidRPr="00817ADF">
        <w:rPr>
          <w:rFonts w:ascii="Arial" w:hAnsi="Arial" w:cs="Arial"/>
          <w:i/>
          <w:iCs/>
          <w:color w:val="000000"/>
        </w:rPr>
        <w:t xml:space="preserve">Reglamento Interior del Órgano Interno de Control de la Comisión de Transparencia y Acceso a la Información del Estado, </w:t>
      </w:r>
      <w:r w:rsidR="00E07866" w:rsidRPr="00817ADF">
        <w:rPr>
          <w:rFonts w:ascii="Arial" w:hAnsi="Arial" w:cs="Arial"/>
          <w:color w:val="000000"/>
        </w:rPr>
        <w:t xml:space="preserve">el suscrito Titular del Órgano Interno de Control, cuenta con la atribución establecer los mecanismos de recepción de correspondencia y gestión documental necesarios para el ejercicio de sus atribuciones. </w:t>
      </w:r>
    </w:p>
    <w:p w14:paraId="01BF329E" w14:textId="0C86DB71" w:rsidR="00D5681A" w:rsidRPr="00817ADF" w:rsidRDefault="00D5681A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C9D448F" w14:textId="77777777" w:rsidR="00D5681A" w:rsidRPr="00817ADF" w:rsidRDefault="00D5681A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FC11BE6" w14:textId="6198C4D8" w:rsidR="00404F3D" w:rsidRDefault="004A3161" w:rsidP="00F205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SEXTO</w:t>
      </w:r>
      <w:r w:rsidR="00CB6C69" w:rsidRPr="00817ADF">
        <w:rPr>
          <w:rFonts w:ascii="Arial" w:hAnsi="Arial" w:cs="Arial"/>
          <w:b/>
          <w:bCs/>
        </w:rPr>
        <w:t xml:space="preserve">. </w:t>
      </w:r>
      <w:r w:rsidR="00EB0F9F">
        <w:rPr>
          <w:rFonts w:ascii="Arial" w:hAnsi="Arial" w:cs="Arial"/>
        </w:rPr>
        <w:t xml:space="preserve">La Suprema Corte de Justicia de la Nación ha determinado que, </w:t>
      </w:r>
      <w:r w:rsidR="004E2CF1">
        <w:rPr>
          <w:rFonts w:ascii="Arial" w:hAnsi="Arial" w:cs="Arial"/>
        </w:rPr>
        <w:t xml:space="preserve"> </w:t>
      </w:r>
      <w:r w:rsidR="00EB0F9F" w:rsidRPr="00EB0F9F">
        <w:rPr>
          <w:rFonts w:ascii="Arial" w:hAnsi="Arial" w:cs="Arial"/>
        </w:rPr>
        <w:t>uno de los principios rectores del derecho, que debe ser aplicable en todos los procedimientos de cuyo resultado pudiera derivar alguna pena o sanción como resultado de la facultad punitiva del Estado, es el de presunción de inocencia como derecho fundamental de toda persona, aplicable y reconocible a quienes pudiesen estar sometidos a un procedimiento administrativo sancionador y, en consecuencia, soportar el poder correctivo del Estado, a través de autoridad competent</w:t>
      </w:r>
      <w:r w:rsidR="00EB0F9F">
        <w:rPr>
          <w:rFonts w:ascii="Arial" w:hAnsi="Arial" w:cs="Arial"/>
        </w:rPr>
        <w:t xml:space="preserve">e. </w:t>
      </w:r>
      <w:r w:rsidR="00EB0F9F" w:rsidRPr="00EB0F9F">
        <w:rPr>
          <w:rFonts w:ascii="Arial" w:hAnsi="Arial" w:cs="Arial"/>
        </w:rPr>
        <w:t xml:space="preserve"> </w:t>
      </w:r>
    </w:p>
    <w:p w14:paraId="2642A933" w14:textId="26D5DDE8" w:rsidR="00643241" w:rsidRDefault="00643241" w:rsidP="00F205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5AEE744" w14:textId="77777777" w:rsidR="00643241" w:rsidRDefault="00643241" w:rsidP="00F205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281C8BF" w14:textId="1A5C13E3" w:rsidR="0099451A" w:rsidRDefault="00643241" w:rsidP="00F205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ha determinado que el mencionado derecho tiene </w:t>
      </w:r>
      <w:r w:rsidR="00E261C1">
        <w:rPr>
          <w:rFonts w:ascii="Arial" w:hAnsi="Arial" w:cs="Arial"/>
        </w:rPr>
        <w:t xml:space="preserve">múltiples vertientes, entre las que se encuentra la manifestada </w:t>
      </w:r>
      <w:r w:rsidR="00E261C1" w:rsidRPr="00E261C1">
        <w:rPr>
          <w:rFonts w:ascii="Arial" w:hAnsi="Arial" w:cs="Arial"/>
        </w:rPr>
        <w:t>como "regla de trato procesal" o "regla de tratamiento"</w:t>
      </w:r>
      <w:r w:rsidR="00E261C1">
        <w:rPr>
          <w:rFonts w:ascii="Arial" w:hAnsi="Arial" w:cs="Arial"/>
        </w:rPr>
        <w:t>. Que</w:t>
      </w:r>
      <w:r w:rsidR="00105573">
        <w:rPr>
          <w:rFonts w:ascii="Arial" w:hAnsi="Arial" w:cs="Arial"/>
        </w:rPr>
        <w:t xml:space="preserve">, </w:t>
      </w:r>
      <w:r w:rsidR="00E261C1">
        <w:rPr>
          <w:rFonts w:ascii="Arial" w:hAnsi="Arial" w:cs="Arial"/>
        </w:rPr>
        <w:t>básicamente consiste en tratar a la persona sometida a un procedimiento que pueda derivar en la imposición de una pena o sanción, como inocente, hasta que se demuestre lo contrario</w:t>
      </w:r>
      <w:r w:rsidR="00105573">
        <w:rPr>
          <w:rFonts w:ascii="Arial" w:hAnsi="Arial" w:cs="Arial"/>
        </w:rPr>
        <w:t>,</w:t>
      </w:r>
      <w:r w:rsidR="00E261C1">
        <w:rPr>
          <w:rFonts w:ascii="Arial" w:hAnsi="Arial" w:cs="Arial"/>
        </w:rPr>
        <w:t xml:space="preserve"> mediante la determinación correspondiente, emitida por la autoridad competente. </w:t>
      </w:r>
      <w:r w:rsidR="0099451A">
        <w:rPr>
          <w:rFonts w:ascii="Arial" w:hAnsi="Arial" w:cs="Arial"/>
        </w:rPr>
        <w:t xml:space="preserve">Debiéndose evitar la ejecución de </w:t>
      </w:r>
      <w:r w:rsidR="0099451A" w:rsidRPr="0099451A">
        <w:rPr>
          <w:rFonts w:ascii="Arial" w:hAnsi="Arial" w:cs="Arial"/>
        </w:rPr>
        <w:t xml:space="preserve">acciones que </w:t>
      </w:r>
      <w:r w:rsidR="0099451A">
        <w:rPr>
          <w:rFonts w:ascii="Arial" w:hAnsi="Arial" w:cs="Arial"/>
        </w:rPr>
        <w:t xml:space="preserve">tengan </w:t>
      </w:r>
      <w:r w:rsidR="0099451A" w:rsidRPr="0099451A">
        <w:rPr>
          <w:rFonts w:ascii="Arial" w:hAnsi="Arial" w:cs="Arial"/>
        </w:rPr>
        <w:t xml:space="preserve">como finalidad </w:t>
      </w:r>
      <w:r w:rsidR="0099451A">
        <w:rPr>
          <w:rFonts w:ascii="Arial" w:hAnsi="Arial" w:cs="Arial"/>
        </w:rPr>
        <w:t xml:space="preserve">la exposición </w:t>
      </w:r>
      <w:r w:rsidR="0099451A" w:rsidRPr="0099451A">
        <w:rPr>
          <w:rFonts w:ascii="Arial" w:hAnsi="Arial" w:cs="Arial"/>
        </w:rPr>
        <w:t xml:space="preserve">pública </w:t>
      </w:r>
      <w:r w:rsidR="0099451A">
        <w:rPr>
          <w:rFonts w:ascii="Arial" w:hAnsi="Arial" w:cs="Arial"/>
        </w:rPr>
        <w:t xml:space="preserve">de </w:t>
      </w:r>
      <w:r w:rsidR="0099451A" w:rsidRPr="0099451A">
        <w:rPr>
          <w:rFonts w:ascii="Arial" w:hAnsi="Arial" w:cs="Arial"/>
        </w:rPr>
        <w:t xml:space="preserve">alguien como responsable </w:t>
      </w:r>
      <w:r w:rsidR="0099451A">
        <w:rPr>
          <w:rFonts w:ascii="Arial" w:hAnsi="Arial" w:cs="Arial"/>
        </w:rPr>
        <w:t xml:space="preserve">de los hechos investigados o sometidos a resolución de la autoridad. </w:t>
      </w:r>
    </w:p>
    <w:p w14:paraId="46417F3C" w14:textId="60BE1263" w:rsidR="00EB0F9F" w:rsidRDefault="00EB0F9F" w:rsidP="00F205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6D455AD" w14:textId="77777777" w:rsidR="00E261C1" w:rsidRDefault="00E261C1" w:rsidP="00F205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04B0588" w14:textId="0A62D76F" w:rsidR="00105573" w:rsidRDefault="004A3161" w:rsidP="00F205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SÉPTIMO</w:t>
      </w:r>
      <w:r w:rsidR="00EB0F9F">
        <w:rPr>
          <w:rFonts w:ascii="Arial" w:hAnsi="Arial" w:cs="Arial"/>
          <w:b/>
          <w:bCs/>
        </w:rPr>
        <w:t xml:space="preserve">. </w:t>
      </w:r>
      <w:r w:rsidR="00EB0F9F">
        <w:rPr>
          <w:rFonts w:ascii="Arial" w:hAnsi="Arial" w:cs="Arial"/>
        </w:rPr>
        <w:t xml:space="preserve">Tomando en consideración la naturaleza de las facultades y atribuciones </w:t>
      </w:r>
      <w:r w:rsidR="00E261C1">
        <w:rPr>
          <w:rFonts w:ascii="Arial" w:hAnsi="Arial" w:cs="Arial"/>
        </w:rPr>
        <w:t xml:space="preserve">que ejerce </w:t>
      </w:r>
      <w:r w:rsidR="00EB0F9F">
        <w:rPr>
          <w:rFonts w:ascii="Arial" w:hAnsi="Arial" w:cs="Arial"/>
        </w:rPr>
        <w:t>este Órgano Interno de Control</w:t>
      </w:r>
      <w:r w:rsidR="00105573">
        <w:rPr>
          <w:rFonts w:ascii="Arial" w:hAnsi="Arial" w:cs="Arial"/>
        </w:rPr>
        <w:t xml:space="preserve"> —a través </w:t>
      </w:r>
      <w:r w:rsidR="00FE1D4E">
        <w:rPr>
          <w:rFonts w:ascii="Arial" w:hAnsi="Arial" w:cs="Arial"/>
        </w:rPr>
        <w:t xml:space="preserve">de </w:t>
      </w:r>
      <w:r w:rsidR="00105573">
        <w:rPr>
          <w:rFonts w:ascii="Arial" w:hAnsi="Arial" w:cs="Arial"/>
        </w:rPr>
        <w:t xml:space="preserve">las unidades administrativas que lo conforman— </w:t>
      </w:r>
      <w:r w:rsidR="00EB0F9F">
        <w:rPr>
          <w:rFonts w:ascii="Arial" w:hAnsi="Arial" w:cs="Arial"/>
        </w:rPr>
        <w:t xml:space="preserve">se </w:t>
      </w:r>
      <w:r w:rsidR="00105573">
        <w:rPr>
          <w:rFonts w:ascii="Arial" w:hAnsi="Arial" w:cs="Arial"/>
        </w:rPr>
        <w:t>concluye que gran parte de la información y documentación que se allega y somete a escrutinio de estas, forma</w:t>
      </w:r>
      <w:r w:rsidR="00FE1D4E">
        <w:rPr>
          <w:rFonts w:ascii="Arial" w:hAnsi="Arial" w:cs="Arial"/>
        </w:rPr>
        <w:t>n</w:t>
      </w:r>
      <w:r w:rsidR="00105573">
        <w:rPr>
          <w:rFonts w:ascii="Arial" w:hAnsi="Arial" w:cs="Arial"/>
        </w:rPr>
        <w:t xml:space="preserve"> parte de procesos o procedimientos orientados a identificar la posible comisión de faltas administrativas o hechos delictivos para, en su caso, realizar la investigación correspondiente y sancionar a los responsables. O bien, proceder a la presentación de la denuncia ante las autoridades </w:t>
      </w:r>
      <w:r w:rsidR="005224A2">
        <w:rPr>
          <w:rFonts w:ascii="Arial" w:hAnsi="Arial" w:cs="Arial"/>
        </w:rPr>
        <w:t xml:space="preserve">penales </w:t>
      </w:r>
      <w:r w:rsidR="00105573">
        <w:rPr>
          <w:rFonts w:ascii="Arial" w:hAnsi="Arial" w:cs="Arial"/>
        </w:rPr>
        <w:t xml:space="preserve">competentes. </w:t>
      </w:r>
    </w:p>
    <w:p w14:paraId="5602B719" w14:textId="44C4571B" w:rsidR="00FE1D4E" w:rsidRDefault="00FE1D4E" w:rsidP="00F205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B4E7EC7" w14:textId="77777777" w:rsidR="00FE1D4E" w:rsidRDefault="00FE1D4E" w:rsidP="00F205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9D02D39" w14:textId="68B3740A" w:rsidR="00FE1D4E" w:rsidRPr="00FE1D4E" w:rsidRDefault="004A3161" w:rsidP="00F205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OCTAVO</w:t>
      </w:r>
      <w:r w:rsidR="00FE1D4E">
        <w:rPr>
          <w:rFonts w:ascii="Arial" w:hAnsi="Arial" w:cs="Arial"/>
          <w:b/>
          <w:bCs/>
        </w:rPr>
        <w:t xml:space="preserve">. </w:t>
      </w:r>
      <w:r w:rsidR="00FE1D4E">
        <w:rPr>
          <w:rFonts w:ascii="Arial" w:hAnsi="Arial" w:cs="Arial"/>
        </w:rPr>
        <w:t xml:space="preserve">Dicho lo anterior, surge la necesidad de que este </w:t>
      </w:r>
      <w:r w:rsidR="006777E9">
        <w:rPr>
          <w:rFonts w:ascii="Arial" w:hAnsi="Arial" w:cs="Arial"/>
        </w:rPr>
        <w:t>Órgano Interno de Control</w:t>
      </w:r>
      <w:r w:rsidR="005224A2">
        <w:rPr>
          <w:rFonts w:ascii="Arial" w:hAnsi="Arial" w:cs="Arial"/>
        </w:rPr>
        <w:t xml:space="preserve"> establezca</w:t>
      </w:r>
      <w:r w:rsidR="005224A2" w:rsidRPr="005224A2">
        <w:rPr>
          <w:rFonts w:ascii="Arial" w:hAnsi="Arial" w:cs="Arial"/>
        </w:rPr>
        <w:t xml:space="preserve"> mecanismos de recepción de correspondencia</w:t>
      </w:r>
      <w:r w:rsidR="005224A2">
        <w:rPr>
          <w:rFonts w:ascii="Arial" w:hAnsi="Arial" w:cs="Arial"/>
        </w:rPr>
        <w:t xml:space="preserve"> tendientes a garantizar la </w:t>
      </w:r>
      <w:r w:rsidR="004778B0">
        <w:rPr>
          <w:rFonts w:ascii="Arial" w:hAnsi="Arial" w:cs="Arial"/>
        </w:rPr>
        <w:t>protección</w:t>
      </w:r>
      <w:r w:rsidR="005224A2">
        <w:rPr>
          <w:rFonts w:ascii="Arial" w:hAnsi="Arial" w:cs="Arial"/>
        </w:rPr>
        <w:t xml:space="preserve"> de la información y documentación dirigida a las unidades administrativas que lo conforman, como lo son: la Coordinación de Investigación y Denuncias, Coordinación de Responsabilidades Administrativas y la Coordinación de Auditoría e Inspección, así como la dirigida a la Titularidad del Órgano Interno de Control de la Comisión de Transparencia y Acceso a la Información del Estado</w:t>
      </w:r>
      <w:r w:rsidR="004778B0">
        <w:rPr>
          <w:rFonts w:ascii="Arial" w:hAnsi="Arial" w:cs="Arial"/>
        </w:rPr>
        <w:t xml:space="preserve"> y, como consecuencia, el derecho de presunción de inocencia de cualquier persona involucrada en procesos o procedimientos seguidos ante dichas autoridades. </w:t>
      </w:r>
    </w:p>
    <w:p w14:paraId="220E5C15" w14:textId="77777777" w:rsidR="00E261C1" w:rsidRDefault="00E261C1" w:rsidP="00F205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B584585" w14:textId="72452AA2" w:rsidR="00C40BB9" w:rsidRPr="00817ADF" w:rsidRDefault="00C40BB9" w:rsidP="00D5681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891FF59" w14:textId="227FC2E3" w:rsidR="00CB6C69" w:rsidRPr="00817ADF" w:rsidRDefault="00CB6C69" w:rsidP="0000566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ACUERDO</w:t>
      </w:r>
    </w:p>
    <w:p w14:paraId="53A27F32" w14:textId="77777777" w:rsidR="0000566C" w:rsidRPr="00817ADF" w:rsidRDefault="0000566C" w:rsidP="0000566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70B0F4CC" w14:textId="1EB778A4" w:rsidR="00427878" w:rsidRDefault="00CB6C69" w:rsidP="00C40B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PRIMERO</w:t>
      </w:r>
      <w:r w:rsidRPr="00817ADF">
        <w:rPr>
          <w:rFonts w:ascii="Arial" w:hAnsi="Arial" w:cs="Arial"/>
          <w:color w:val="000000"/>
        </w:rPr>
        <w:t>. El Órgano Interno de Control de la Comisión de Transparencia y Acceso a la Información del Estado,</w:t>
      </w:r>
      <w:r w:rsidR="00427878">
        <w:rPr>
          <w:rFonts w:ascii="Arial" w:hAnsi="Arial" w:cs="Arial"/>
          <w:color w:val="000000"/>
        </w:rPr>
        <w:t xml:space="preserve"> con el objetivo de establecer </w:t>
      </w:r>
      <w:r w:rsidR="004778B0" w:rsidRPr="005224A2">
        <w:rPr>
          <w:rFonts w:ascii="Arial" w:hAnsi="Arial" w:cs="Arial"/>
        </w:rPr>
        <w:t>mecanismos de recepción de correspondencia</w:t>
      </w:r>
      <w:r w:rsidR="004778B0">
        <w:rPr>
          <w:rFonts w:ascii="Arial" w:hAnsi="Arial" w:cs="Arial"/>
        </w:rPr>
        <w:t xml:space="preserve"> tendientes a garantizar la protección de la información y documentación dirigida a las unidades administrativas que lo conforman, como lo son: la Coordinación de Investigación y Denuncias, Coordinación de Responsabilidades Administrativas y la Coordinación de Auditoría e Inspección, así como la dirigida a la Titularidad del Órgano Interno de Control de la Comisión de Transparencia y Acceso a la Información del Estado y, como consecuencia, el derecho de presunción de inocencia de cualquier persona involucrada en procesos o procedimientos seguidos ante dichas autoridades</w:t>
      </w:r>
      <w:r w:rsidR="00452BFA">
        <w:rPr>
          <w:rFonts w:ascii="Arial" w:hAnsi="Arial" w:cs="Arial"/>
          <w:color w:val="000000"/>
        </w:rPr>
        <w:t xml:space="preserve">, </w:t>
      </w:r>
      <w:r w:rsidR="004778B0">
        <w:rPr>
          <w:rFonts w:ascii="Arial" w:hAnsi="Arial" w:cs="Arial"/>
          <w:color w:val="000000"/>
        </w:rPr>
        <w:t xml:space="preserve">determina que toda la </w:t>
      </w:r>
      <w:r w:rsidR="004778B0">
        <w:rPr>
          <w:rFonts w:ascii="Arial" w:hAnsi="Arial" w:cs="Arial"/>
          <w:color w:val="000000"/>
        </w:rPr>
        <w:lastRenderedPageBreak/>
        <w:t xml:space="preserve">documentación dirigida a las unidades administrativas que lo conforman, así como a su Titular, deberán ser presentadas </w:t>
      </w:r>
      <w:r w:rsidR="002E73FD">
        <w:rPr>
          <w:rFonts w:ascii="Arial" w:hAnsi="Arial" w:cs="Arial"/>
          <w:color w:val="000000"/>
        </w:rPr>
        <w:t xml:space="preserve">directamente </w:t>
      </w:r>
      <w:r w:rsidR="004778B0">
        <w:rPr>
          <w:rFonts w:ascii="Arial" w:hAnsi="Arial" w:cs="Arial"/>
          <w:color w:val="000000"/>
        </w:rPr>
        <w:t xml:space="preserve">ante dichas autoridades, en las oficinas que ocupan para el desempeño de sus funciones. </w:t>
      </w:r>
      <w:r w:rsidR="002E73FD">
        <w:rPr>
          <w:rFonts w:ascii="Arial" w:hAnsi="Arial" w:cs="Arial"/>
          <w:color w:val="000000"/>
        </w:rPr>
        <w:t xml:space="preserve">Quedando exceptuada su presentación ante la Unidad de Correspondencia de la Comisión de Transparencia y Acceso a la Información del Estado. </w:t>
      </w:r>
    </w:p>
    <w:p w14:paraId="49F74502" w14:textId="0CD10004" w:rsidR="004778B0" w:rsidRDefault="004778B0" w:rsidP="00C40B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8FA49A2" w14:textId="77777777" w:rsidR="002E73FD" w:rsidRDefault="002E73FD" w:rsidP="00C40B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66EAC0C" w14:textId="4446627B" w:rsidR="00E30932" w:rsidRPr="00817ADF" w:rsidRDefault="00C40BB9" w:rsidP="00E3093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17ADF">
        <w:rPr>
          <w:rFonts w:ascii="Arial" w:hAnsi="Arial" w:cs="Arial"/>
          <w:b/>
          <w:bCs/>
        </w:rPr>
        <w:t xml:space="preserve">SEGUNDO. </w:t>
      </w:r>
      <w:r w:rsidR="002E73FD">
        <w:rPr>
          <w:rFonts w:ascii="Arial" w:hAnsi="Arial" w:cs="Arial"/>
        </w:rPr>
        <w:t>En atención a lo determinado en el punto inmediato anterior</w:t>
      </w:r>
      <w:r w:rsidR="0053114A">
        <w:rPr>
          <w:rFonts w:ascii="Arial" w:hAnsi="Arial" w:cs="Arial"/>
        </w:rPr>
        <w:t xml:space="preserve">, </w:t>
      </w:r>
      <w:r w:rsidR="002E73FD">
        <w:rPr>
          <w:rFonts w:ascii="Arial" w:hAnsi="Arial" w:cs="Arial"/>
        </w:rPr>
        <w:t>las unidades administrativas que conforman el Órgano Interno de Control de la Comisión de Transparencia y Acceso a la Información del Estado, así como su Titular, deberán</w:t>
      </w:r>
      <w:r w:rsidR="004A3161">
        <w:rPr>
          <w:rFonts w:ascii="Arial" w:hAnsi="Arial" w:cs="Arial"/>
        </w:rPr>
        <w:t xml:space="preserve"> vigilar que la documentación que se presente, sea dirigida a cualesquiera de las áreas que conforman el citado Órgano Interno de Control y, además de ello, </w:t>
      </w:r>
      <w:r w:rsidR="003B0108">
        <w:rPr>
          <w:rFonts w:ascii="Arial" w:hAnsi="Arial" w:cs="Arial"/>
        </w:rPr>
        <w:t>estas</w:t>
      </w:r>
      <w:r w:rsidR="004A3161">
        <w:rPr>
          <w:rFonts w:ascii="Arial" w:hAnsi="Arial" w:cs="Arial"/>
        </w:rPr>
        <w:t xml:space="preserve"> deberán </w:t>
      </w:r>
      <w:r w:rsidR="002E73FD">
        <w:rPr>
          <w:rFonts w:ascii="Arial" w:hAnsi="Arial" w:cs="Arial"/>
        </w:rPr>
        <w:t>contar con un sello que sirva para dejar constancia de la presentación de documentación ante ellos, debiéndose plasmar</w:t>
      </w:r>
      <w:r w:rsidR="003B0108">
        <w:rPr>
          <w:rFonts w:ascii="Arial" w:hAnsi="Arial" w:cs="Arial"/>
        </w:rPr>
        <w:t xml:space="preserve"> </w:t>
      </w:r>
      <w:r w:rsidR="002E73FD">
        <w:rPr>
          <w:rFonts w:ascii="Arial" w:hAnsi="Arial" w:cs="Arial"/>
        </w:rPr>
        <w:t xml:space="preserve">—mínimamente— la unidad administrativa que recibe, la fecha y hora de recepción, en su caso, anexos presentados o la manifestación de que no aplica y la firma del receptor. </w:t>
      </w:r>
    </w:p>
    <w:p w14:paraId="1931D27E" w14:textId="77777777" w:rsidR="009A6670" w:rsidRDefault="009A6670" w:rsidP="0000566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6C8DC169" w14:textId="77777777" w:rsidR="009A0C51" w:rsidRDefault="009A0C51" w:rsidP="00996E3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7AF5099B" w14:textId="57C2F069" w:rsidR="00CB6C69" w:rsidRPr="00817ADF" w:rsidRDefault="00CB6C69" w:rsidP="00996E3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ARTÍCULOS TRANSITORIOS</w:t>
      </w:r>
    </w:p>
    <w:p w14:paraId="72CD2504" w14:textId="01472F2F" w:rsidR="0000566C" w:rsidRPr="00817ADF" w:rsidRDefault="0000566C" w:rsidP="00996E3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22E9D60C" w14:textId="77777777" w:rsidR="00996E3F" w:rsidRPr="00817ADF" w:rsidRDefault="00996E3F" w:rsidP="00996E3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69FB8343" w14:textId="75F156B9" w:rsidR="0078509F" w:rsidRDefault="002E73FD" w:rsidP="004D462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PRIMERO</w:t>
      </w:r>
      <w:r w:rsidR="00CB6C69" w:rsidRPr="00817ADF">
        <w:rPr>
          <w:rFonts w:ascii="Arial" w:hAnsi="Arial" w:cs="Arial"/>
          <w:color w:val="000000"/>
        </w:rPr>
        <w:t xml:space="preserve">. </w:t>
      </w:r>
      <w:r w:rsidR="0078509F" w:rsidRPr="00817ADF">
        <w:rPr>
          <w:rFonts w:ascii="Arial" w:hAnsi="Arial" w:cs="Arial"/>
          <w:color w:val="000000"/>
        </w:rPr>
        <w:t>El presente acuerdo entrará en vigor a partir del momento de su emisión, y deberá comunicarse vía correo electrónico a la Dirección de Gestión Documental y Archivo, Coordinación de Archivo de Trámite, Coordinación de Investigación y Denuncias, Coordinación de Responsabilidades Administrativas y Coordinación de Auditoría e Inspección</w:t>
      </w:r>
      <w:r w:rsidR="004A3161">
        <w:rPr>
          <w:rFonts w:ascii="Arial" w:hAnsi="Arial" w:cs="Arial"/>
          <w:color w:val="000000"/>
        </w:rPr>
        <w:t xml:space="preserve">, para los efectos legales y administrativos a que haya lugar. </w:t>
      </w:r>
    </w:p>
    <w:p w14:paraId="7D840D53" w14:textId="77777777" w:rsidR="0078509F" w:rsidRDefault="0078509F" w:rsidP="004D462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B8806D" w14:textId="1523D401" w:rsidR="002E73FD" w:rsidRDefault="002E73FD" w:rsidP="004D462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14:paraId="1A88EE40" w14:textId="1EC6C251" w:rsidR="002E73FD" w:rsidRPr="002A0F31" w:rsidRDefault="002E73FD" w:rsidP="004D4627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SEGUNDO. </w:t>
      </w:r>
      <w:r>
        <w:rPr>
          <w:rFonts w:ascii="Arial" w:hAnsi="Arial" w:cs="Arial"/>
        </w:rPr>
        <w:t>Las disposiciones contenidas en el presente acuerdo únicamente son para efecto de la recepción de la documentación dirigida a las unidades administrativas del Órgano Interno de Control de la Comisión de Transparencia y Acceso a la Información del Estado</w:t>
      </w:r>
      <w:r w:rsidR="002A0F31">
        <w:rPr>
          <w:rFonts w:ascii="Arial" w:hAnsi="Arial" w:cs="Arial"/>
        </w:rPr>
        <w:t xml:space="preserve"> y su Titular</w:t>
      </w:r>
      <w:r>
        <w:rPr>
          <w:rFonts w:ascii="Arial" w:hAnsi="Arial" w:cs="Arial"/>
        </w:rPr>
        <w:t xml:space="preserve">. En caso de que se determine </w:t>
      </w:r>
      <w:r w:rsidR="002A0F31">
        <w:rPr>
          <w:rFonts w:ascii="Arial" w:hAnsi="Arial" w:cs="Arial"/>
        </w:rPr>
        <w:t xml:space="preserve">que la información ahí contenida cuenta con el carácter de reservada o confidencial, deberá procederse conforma a la </w:t>
      </w:r>
      <w:r w:rsidR="002A0F31">
        <w:rPr>
          <w:rFonts w:ascii="Arial" w:hAnsi="Arial" w:cs="Arial"/>
          <w:i/>
          <w:iCs/>
        </w:rPr>
        <w:t xml:space="preserve">Ley de Transparencia y Acceso a la Información Pública del Estado de Nuevo León. </w:t>
      </w:r>
    </w:p>
    <w:p w14:paraId="67E97A41" w14:textId="77777777" w:rsidR="009A6670" w:rsidRPr="00817ADF" w:rsidRDefault="009A6670" w:rsidP="004D462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77CF463" w14:textId="225A438D" w:rsidR="0009300F" w:rsidRPr="00817ADF" w:rsidRDefault="0009300F" w:rsidP="004D462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17ADF">
        <w:rPr>
          <w:rFonts w:ascii="Arial" w:hAnsi="Arial" w:cs="Arial"/>
          <w:color w:val="000000"/>
        </w:rPr>
        <w:t xml:space="preserve">Dado en la ciudad de Monterrey, </w:t>
      </w:r>
      <w:r w:rsidR="004D4627" w:rsidRPr="00817ADF">
        <w:rPr>
          <w:rFonts w:ascii="Arial" w:hAnsi="Arial" w:cs="Arial"/>
          <w:color w:val="000000"/>
        </w:rPr>
        <w:t xml:space="preserve">Nuevo León, </w:t>
      </w:r>
      <w:r w:rsidR="00A61895" w:rsidRPr="0078509F">
        <w:rPr>
          <w:rFonts w:ascii="Arial" w:hAnsi="Arial" w:cs="Arial"/>
        </w:rPr>
        <w:t xml:space="preserve">el día </w:t>
      </w:r>
      <w:r w:rsidR="002A0F31" w:rsidRPr="0078509F">
        <w:rPr>
          <w:rFonts w:ascii="Arial" w:hAnsi="Arial" w:cs="Arial"/>
        </w:rPr>
        <w:t xml:space="preserve">06 seis de junio </w:t>
      </w:r>
      <w:r w:rsidR="00A61895" w:rsidRPr="00817ADF">
        <w:rPr>
          <w:rFonts w:ascii="Arial" w:hAnsi="Arial" w:cs="Arial"/>
          <w:color w:val="000000"/>
        </w:rPr>
        <w:t xml:space="preserve">del año </w:t>
      </w:r>
      <w:r w:rsidR="004D4627" w:rsidRPr="00817ADF">
        <w:rPr>
          <w:rFonts w:ascii="Arial" w:hAnsi="Arial" w:cs="Arial"/>
          <w:color w:val="000000"/>
        </w:rPr>
        <w:t xml:space="preserve">2022 </w:t>
      </w:r>
      <w:r w:rsidR="00A61895" w:rsidRPr="00817ADF">
        <w:rPr>
          <w:rFonts w:ascii="Arial" w:hAnsi="Arial" w:cs="Arial"/>
          <w:color w:val="000000"/>
        </w:rPr>
        <w:t xml:space="preserve">dos mil </w:t>
      </w:r>
      <w:r w:rsidR="004D4627" w:rsidRPr="00817ADF">
        <w:rPr>
          <w:rFonts w:ascii="Arial" w:hAnsi="Arial" w:cs="Arial"/>
          <w:color w:val="000000"/>
        </w:rPr>
        <w:t>veintidós</w:t>
      </w:r>
      <w:r w:rsidR="00A61895" w:rsidRPr="00817ADF">
        <w:rPr>
          <w:rFonts w:ascii="Arial" w:hAnsi="Arial" w:cs="Arial"/>
          <w:color w:val="000000"/>
        </w:rPr>
        <w:t>.</w:t>
      </w:r>
    </w:p>
    <w:p w14:paraId="7AE3069F" w14:textId="77777777" w:rsidR="004A3161" w:rsidRDefault="004A3161" w:rsidP="004D462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00A93172" w14:textId="77777777" w:rsidR="004A3161" w:rsidRDefault="004A3161" w:rsidP="004D462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072BDD55" w14:textId="72820290" w:rsidR="00A61895" w:rsidRPr="00817ADF" w:rsidRDefault="00A61895" w:rsidP="004D462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 xml:space="preserve">Licenciado José Adrián López Frausto. </w:t>
      </w:r>
    </w:p>
    <w:p w14:paraId="4514384D" w14:textId="1AC7A7CB" w:rsidR="00A61895" w:rsidRPr="00817ADF" w:rsidRDefault="00A61895" w:rsidP="004D462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>Titular del Órgano Interno de Control de la Comisión de</w:t>
      </w:r>
    </w:p>
    <w:p w14:paraId="787CD3A9" w14:textId="17E4D96E" w:rsidR="00A61895" w:rsidRPr="00817ADF" w:rsidRDefault="00A61895" w:rsidP="004D462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17ADF">
        <w:rPr>
          <w:rFonts w:ascii="Arial" w:hAnsi="Arial" w:cs="Arial"/>
          <w:b/>
          <w:bCs/>
          <w:color w:val="000000"/>
        </w:rPr>
        <w:t xml:space="preserve">Transparencia y Acceso a la Información del Estado. </w:t>
      </w:r>
    </w:p>
    <w:p w14:paraId="756B700C" w14:textId="0FC350D7" w:rsidR="002854D4" w:rsidRPr="00817ADF" w:rsidRDefault="002854D4" w:rsidP="004D4627">
      <w:pPr>
        <w:pStyle w:val="Encabezado"/>
        <w:jc w:val="both"/>
        <w:rPr>
          <w:lang w:val="es-MX"/>
        </w:rPr>
      </w:pPr>
    </w:p>
    <w:sectPr w:rsidR="002854D4" w:rsidRPr="00817ADF" w:rsidSect="004A3161">
      <w:headerReference w:type="default" r:id="rId7"/>
      <w:footerReference w:type="default" r:id="rId8"/>
      <w:pgSz w:w="12240" w:h="15840" w:code="1"/>
      <w:pgMar w:top="1985" w:right="1185" w:bottom="1134" w:left="226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4C9C" w14:textId="77777777" w:rsidR="00FE33FD" w:rsidRDefault="00FE33FD" w:rsidP="00A233BF">
      <w:r>
        <w:separator/>
      </w:r>
    </w:p>
  </w:endnote>
  <w:endnote w:type="continuationSeparator" w:id="0">
    <w:p w14:paraId="5297D918" w14:textId="77777777" w:rsidR="00FE33FD" w:rsidRDefault="00FE33FD" w:rsidP="00A2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6A" w14:textId="66EA2A60" w:rsidR="00C50DFE" w:rsidRPr="00D234AF" w:rsidRDefault="00C50DFE" w:rsidP="00C50DFE">
    <w:pPr>
      <w:pStyle w:val="Piedepgina"/>
      <w:ind w:left="2661" w:firstLine="4419"/>
      <w:rPr>
        <w:rFonts w:ascii="Arial" w:hAnsi="Arial" w:cs="Arial"/>
      </w:rPr>
    </w:pPr>
    <w:r w:rsidRPr="00D234AF">
      <w:rPr>
        <w:rFonts w:ascii="Arial" w:hAnsi="Arial" w:cs="Arial"/>
      </w:rPr>
      <w:t xml:space="preserve">Página </w:t>
    </w:r>
    <w:r w:rsidRPr="00D234AF">
      <w:rPr>
        <w:rFonts w:ascii="Arial" w:hAnsi="Arial" w:cs="Arial"/>
        <w:b/>
      </w:rPr>
      <w:fldChar w:fldCharType="begin"/>
    </w:r>
    <w:r w:rsidRPr="00D234AF">
      <w:rPr>
        <w:rFonts w:ascii="Arial" w:hAnsi="Arial" w:cs="Arial"/>
        <w:b/>
      </w:rPr>
      <w:instrText>PAGE</w:instrText>
    </w:r>
    <w:r w:rsidRPr="00D234AF"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1</w:t>
    </w:r>
    <w:r w:rsidRPr="00D234AF">
      <w:rPr>
        <w:rFonts w:ascii="Arial" w:hAnsi="Arial" w:cs="Arial"/>
        <w:b/>
      </w:rPr>
      <w:fldChar w:fldCharType="end"/>
    </w:r>
    <w:r w:rsidRPr="00D234AF">
      <w:rPr>
        <w:rFonts w:ascii="Arial" w:hAnsi="Arial" w:cs="Arial"/>
      </w:rPr>
      <w:t xml:space="preserve"> de </w:t>
    </w:r>
    <w:r w:rsidRPr="00D234AF">
      <w:rPr>
        <w:rFonts w:ascii="Arial" w:hAnsi="Arial" w:cs="Arial"/>
        <w:b/>
      </w:rPr>
      <w:fldChar w:fldCharType="begin"/>
    </w:r>
    <w:r w:rsidRPr="00D234AF">
      <w:rPr>
        <w:rFonts w:ascii="Arial" w:hAnsi="Arial" w:cs="Arial"/>
        <w:b/>
      </w:rPr>
      <w:instrText>NUMPAGES</w:instrText>
    </w:r>
    <w:r w:rsidRPr="00D234AF"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3</w:t>
    </w:r>
    <w:r w:rsidRPr="00D234AF">
      <w:rPr>
        <w:rFonts w:ascii="Arial" w:hAnsi="Arial" w:cs="Arial"/>
        <w:b/>
      </w:rPr>
      <w:fldChar w:fldCharType="end"/>
    </w:r>
  </w:p>
  <w:p w14:paraId="56756D7F" w14:textId="77777777" w:rsidR="00C50DFE" w:rsidRDefault="00C50D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0346" w14:textId="77777777" w:rsidR="00FE33FD" w:rsidRDefault="00FE33FD" w:rsidP="00A233BF">
      <w:r>
        <w:separator/>
      </w:r>
    </w:p>
  </w:footnote>
  <w:footnote w:type="continuationSeparator" w:id="0">
    <w:p w14:paraId="55104945" w14:textId="77777777" w:rsidR="00FE33FD" w:rsidRDefault="00FE33FD" w:rsidP="00A2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EDE7" w14:textId="1159DE22" w:rsidR="00A233BF" w:rsidRDefault="008628A3" w:rsidP="00CD6EDD">
    <w:pPr>
      <w:pStyle w:val="Encabezado"/>
      <w:ind w:left="-2268"/>
    </w:pPr>
    <w:bookmarkStart w:id="1" w:name="_Hlk61252338"/>
    <w:r>
      <w:rPr>
        <w:noProof/>
      </w:rPr>
      <w:drawing>
        <wp:inline distT="0" distB="0" distL="0" distR="0" wp14:anchorId="283A2B97" wp14:editId="7B5B99D8">
          <wp:extent cx="7955811" cy="1114425"/>
          <wp:effectExtent l="0" t="0" r="762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3055" cy="1147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26D1"/>
    <w:multiLevelType w:val="hybridMultilevel"/>
    <w:tmpl w:val="AE104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5179"/>
    <w:multiLevelType w:val="hybridMultilevel"/>
    <w:tmpl w:val="03E8548E"/>
    <w:lvl w:ilvl="0" w:tplc="2E3C3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146A54"/>
    <w:multiLevelType w:val="hybridMultilevel"/>
    <w:tmpl w:val="BF0850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D2E1B"/>
    <w:multiLevelType w:val="hybridMultilevel"/>
    <w:tmpl w:val="1D243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D1C27"/>
    <w:multiLevelType w:val="hybridMultilevel"/>
    <w:tmpl w:val="0FF45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B1900"/>
    <w:multiLevelType w:val="hybridMultilevel"/>
    <w:tmpl w:val="9CAAB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873169">
    <w:abstractNumId w:val="3"/>
  </w:num>
  <w:num w:numId="2" w16cid:durableId="1342050361">
    <w:abstractNumId w:val="5"/>
  </w:num>
  <w:num w:numId="3" w16cid:durableId="1779520112">
    <w:abstractNumId w:val="2"/>
  </w:num>
  <w:num w:numId="4" w16cid:durableId="1068111312">
    <w:abstractNumId w:val="0"/>
  </w:num>
  <w:num w:numId="5" w16cid:durableId="1671980478">
    <w:abstractNumId w:val="1"/>
  </w:num>
  <w:num w:numId="6" w16cid:durableId="1595867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F0"/>
    <w:rsid w:val="0000566C"/>
    <w:rsid w:val="00064ECA"/>
    <w:rsid w:val="000878B1"/>
    <w:rsid w:val="0009300F"/>
    <w:rsid w:val="000A05D9"/>
    <w:rsid w:val="000B4D6D"/>
    <w:rsid w:val="000B57D2"/>
    <w:rsid w:val="000C74F6"/>
    <w:rsid w:val="00105573"/>
    <w:rsid w:val="001313E2"/>
    <w:rsid w:val="00135527"/>
    <w:rsid w:val="0013696B"/>
    <w:rsid w:val="001719EE"/>
    <w:rsid w:val="00184BE2"/>
    <w:rsid w:val="001A6BE4"/>
    <w:rsid w:val="001D3BF0"/>
    <w:rsid w:val="001E02DD"/>
    <w:rsid w:val="00210D2E"/>
    <w:rsid w:val="00242AF7"/>
    <w:rsid w:val="002460AA"/>
    <w:rsid w:val="00264078"/>
    <w:rsid w:val="00270718"/>
    <w:rsid w:val="002854D4"/>
    <w:rsid w:val="002A088C"/>
    <w:rsid w:val="002A0F31"/>
    <w:rsid w:val="002B18EC"/>
    <w:rsid w:val="002E73FD"/>
    <w:rsid w:val="003055FC"/>
    <w:rsid w:val="00344071"/>
    <w:rsid w:val="003A0F97"/>
    <w:rsid w:val="003A729E"/>
    <w:rsid w:val="003B0108"/>
    <w:rsid w:val="003B61E7"/>
    <w:rsid w:val="003E47A4"/>
    <w:rsid w:val="003E5528"/>
    <w:rsid w:val="003F58A8"/>
    <w:rsid w:val="00404F3D"/>
    <w:rsid w:val="00426C59"/>
    <w:rsid w:val="00427878"/>
    <w:rsid w:val="00452BFA"/>
    <w:rsid w:val="004778B0"/>
    <w:rsid w:val="004A132F"/>
    <w:rsid w:val="004A3161"/>
    <w:rsid w:val="004B50E5"/>
    <w:rsid w:val="004D4627"/>
    <w:rsid w:val="004E2CF1"/>
    <w:rsid w:val="005224A2"/>
    <w:rsid w:val="0053114A"/>
    <w:rsid w:val="005368FB"/>
    <w:rsid w:val="0055514A"/>
    <w:rsid w:val="005F239B"/>
    <w:rsid w:val="00615DB4"/>
    <w:rsid w:val="00643241"/>
    <w:rsid w:val="00666357"/>
    <w:rsid w:val="006777E9"/>
    <w:rsid w:val="006A418F"/>
    <w:rsid w:val="006C6FB7"/>
    <w:rsid w:val="006D577A"/>
    <w:rsid w:val="007011EC"/>
    <w:rsid w:val="00720B2E"/>
    <w:rsid w:val="00726EF9"/>
    <w:rsid w:val="0078509F"/>
    <w:rsid w:val="007F5757"/>
    <w:rsid w:val="00817ADF"/>
    <w:rsid w:val="008628A3"/>
    <w:rsid w:val="008B2B49"/>
    <w:rsid w:val="009300F8"/>
    <w:rsid w:val="00930493"/>
    <w:rsid w:val="009425A6"/>
    <w:rsid w:val="009568E2"/>
    <w:rsid w:val="009569CD"/>
    <w:rsid w:val="009768A8"/>
    <w:rsid w:val="0099451A"/>
    <w:rsid w:val="00996E3F"/>
    <w:rsid w:val="009A0C51"/>
    <w:rsid w:val="009A6670"/>
    <w:rsid w:val="009C6004"/>
    <w:rsid w:val="009E6790"/>
    <w:rsid w:val="009F5340"/>
    <w:rsid w:val="00A233BF"/>
    <w:rsid w:val="00A61895"/>
    <w:rsid w:val="00AA383C"/>
    <w:rsid w:val="00AC4DCB"/>
    <w:rsid w:val="00AE3A01"/>
    <w:rsid w:val="00B12E57"/>
    <w:rsid w:val="00B14961"/>
    <w:rsid w:val="00B24A95"/>
    <w:rsid w:val="00B77632"/>
    <w:rsid w:val="00BB1688"/>
    <w:rsid w:val="00BC5627"/>
    <w:rsid w:val="00BD2C8C"/>
    <w:rsid w:val="00BE36B9"/>
    <w:rsid w:val="00BF1766"/>
    <w:rsid w:val="00C111CA"/>
    <w:rsid w:val="00C12E36"/>
    <w:rsid w:val="00C35F4E"/>
    <w:rsid w:val="00C40BB9"/>
    <w:rsid w:val="00C50DFE"/>
    <w:rsid w:val="00C87C8E"/>
    <w:rsid w:val="00CB6C69"/>
    <w:rsid w:val="00CC17C4"/>
    <w:rsid w:val="00CD6EDD"/>
    <w:rsid w:val="00D10320"/>
    <w:rsid w:val="00D105E0"/>
    <w:rsid w:val="00D11684"/>
    <w:rsid w:val="00D37CA7"/>
    <w:rsid w:val="00D52454"/>
    <w:rsid w:val="00D5681A"/>
    <w:rsid w:val="00D64A1E"/>
    <w:rsid w:val="00D70B6C"/>
    <w:rsid w:val="00DB32FF"/>
    <w:rsid w:val="00E03A31"/>
    <w:rsid w:val="00E07866"/>
    <w:rsid w:val="00E261C1"/>
    <w:rsid w:val="00E30932"/>
    <w:rsid w:val="00E42A37"/>
    <w:rsid w:val="00E76F91"/>
    <w:rsid w:val="00EB0F9F"/>
    <w:rsid w:val="00EE459E"/>
    <w:rsid w:val="00F15BA7"/>
    <w:rsid w:val="00F20564"/>
    <w:rsid w:val="00F3108E"/>
    <w:rsid w:val="00F652D7"/>
    <w:rsid w:val="00F96D1E"/>
    <w:rsid w:val="00FA105F"/>
    <w:rsid w:val="00FE1D4E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1AC6E"/>
  <w15:chartTrackingRefBased/>
  <w15:docId w15:val="{DD7D99BB-C654-4BCD-AFE1-D6852428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3BF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3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3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233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3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233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6C69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C40BB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1512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Rolando Macías Saucedo</dc:creator>
  <cp:keywords/>
  <dc:description/>
  <cp:lastModifiedBy>Coordinador de responsabilidades administrativas</cp:lastModifiedBy>
  <cp:revision>11</cp:revision>
  <cp:lastPrinted>2022-06-06T14:55:00Z</cp:lastPrinted>
  <dcterms:created xsi:type="dcterms:W3CDTF">2022-06-01T19:50:00Z</dcterms:created>
  <dcterms:modified xsi:type="dcterms:W3CDTF">2022-06-06T14:55:00Z</dcterms:modified>
</cp:coreProperties>
</file>