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A1A" w14:textId="489F0AF9" w:rsidR="00817ADF" w:rsidRPr="00817ADF" w:rsidRDefault="00817ADF" w:rsidP="00817ADF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01/2022. </w:t>
      </w:r>
    </w:p>
    <w:p w14:paraId="1874D54A" w14:textId="552741C3" w:rsidR="00817ADF" w:rsidRPr="00817ADF" w:rsidRDefault="00817ADF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E12B36C" w14:textId="77777777" w:rsidR="00817ADF" w:rsidRPr="00817ADF" w:rsidRDefault="00817ADF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44815E4" w14:textId="42D3E4CC" w:rsidR="003E47A4" w:rsidRPr="00817ADF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ACUERDO NÚMERO 01/202</w:t>
      </w:r>
      <w:r w:rsidR="003E47A4" w:rsidRPr="00817ADF">
        <w:rPr>
          <w:rFonts w:ascii="Arial" w:hAnsi="Arial" w:cs="Arial"/>
          <w:b/>
          <w:bCs/>
          <w:color w:val="000000"/>
        </w:rPr>
        <w:t>2</w:t>
      </w:r>
      <w:r w:rsidRPr="00817ADF">
        <w:rPr>
          <w:rFonts w:ascii="Arial" w:hAnsi="Arial" w:cs="Arial"/>
          <w:b/>
          <w:bCs/>
          <w:color w:val="000000"/>
        </w:rPr>
        <w:t xml:space="preserve"> DEL ÓRGANO INTERNO DE CONTROL DE LA COMISIÓN DE TRANSPARENCIA Y ACCESO A LA INFORMACIÓN DEL ESTADO DE NUEVO LEÓN, MEDIANTE EL CUAL </w:t>
      </w:r>
      <w:r w:rsidR="003E47A4" w:rsidRPr="00817ADF">
        <w:rPr>
          <w:rFonts w:ascii="Arial" w:hAnsi="Arial" w:cs="Arial"/>
          <w:b/>
          <w:bCs/>
          <w:color w:val="000000"/>
        </w:rPr>
        <w:t xml:space="preserve">SE DETERMINAN LAS ACCIONES A EMPRENDER PARA LA HOMOLOGACIÓN DE LA INTEGRACIÓN DE LOS EXPEDIENTES DEL ÓRGANO INTERNO DE CONTROL DE LA COMISIÓN DE TRANSPARENCIA Y ACCESO A LA INFORMACIÓN DEL ESTADO DE NUEVO LEÓN A LAS DISPOSICIONES EN MATERIA ARCHIVÍSTICA VIGENTES. </w:t>
      </w:r>
    </w:p>
    <w:p w14:paraId="53010F5D" w14:textId="112F4E46" w:rsidR="00CB6C69" w:rsidRPr="00817ADF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 </w:t>
      </w:r>
    </w:p>
    <w:p w14:paraId="5EDA82B5" w14:textId="77777777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AB732A8" w14:textId="371D19AA" w:rsidR="00CB6C69" w:rsidRPr="00817ADF" w:rsidRDefault="00CB6C69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ANTECEDENTES</w:t>
      </w:r>
    </w:p>
    <w:p w14:paraId="726E61A0" w14:textId="77777777" w:rsidR="00D5681A" w:rsidRPr="00817ADF" w:rsidRDefault="00D5681A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11F4900" w14:textId="017CAA09" w:rsidR="00CB6C69" w:rsidRPr="00817ADF" w:rsidRDefault="00CB6C69" w:rsidP="00CB6C69">
      <w:pPr>
        <w:shd w:val="clear" w:color="auto" w:fill="FFFFFF"/>
        <w:jc w:val="both"/>
        <w:rPr>
          <w:rFonts w:ascii="Arial" w:hAnsi="Arial" w:cs="Arial"/>
          <w:lang w:eastAsia="es-MX"/>
        </w:rPr>
      </w:pPr>
      <w:r w:rsidRPr="00817ADF">
        <w:rPr>
          <w:rFonts w:ascii="Arial" w:hAnsi="Arial" w:cs="Arial"/>
          <w:b/>
          <w:bCs/>
          <w:lang w:eastAsia="es-MX"/>
        </w:rPr>
        <w:t>PRIMERO.</w:t>
      </w:r>
      <w:r w:rsidRPr="00817ADF">
        <w:rPr>
          <w:rFonts w:ascii="Arial" w:hAnsi="Arial" w:cs="Arial"/>
          <w:lang w:eastAsia="es-MX"/>
        </w:rPr>
        <w:t xml:space="preserve"> </w:t>
      </w:r>
      <w:r w:rsidR="003E47A4" w:rsidRPr="00817ADF">
        <w:rPr>
          <w:rFonts w:ascii="Arial" w:hAnsi="Arial" w:cs="Arial"/>
          <w:lang w:eastAsia="es-MX"/>
        </w:rPr>
        <w:t xml:space="preserve">Mediante sesión del Pleno de la Comisión de Transparencia y Acceso a la Información del Estado de fecha 09 nueve de julio de 2014 dos mil catorce, fueron aprobados los </w:t>
      </w:r>
      <w:r w:rsidR="003E47A4" w:rsidRPr="00817ADF">
        <w:rPr>
          <w:rFonts w:ascii="Arial" w:hAnsi="Arial" w:cs="Arial"/>
          <w:i/>
          <w:iCs/>
          <w:lang w:eastAsia="es-MX"/>
        </w:rPr>
        <w:t>Lineamientos Generales para la Organización y Conservación de los Archivos de la Comisión de Transparencia y Acceso a la Información del Estado de Nuevo León</w:t>
      </w:r>
      <w:r w:rsidR="003E47A4" w:rsidRPr="00817ADF">
        <w:rPr>
          <w:rFonts w:ascii="Arial" w:hAnsi="Arial" w:cs="Arial"/>
          <w:lang w:eastAsia="es-MX"/>
        </w:rPr>
        <w:t>.</w:t>
      </w:r>
    </w:p>
    <w:p w14:paraId="6BC14952" w14:textId="425D92DA" w:rsidR="00CB6C69" w:rsidRPr="00817ADF" w:rsidRDefault="00CB6C69" w:rsidP="00CB6C69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14:paraId="1AD78D50" w14:textId="77777777" w:rsidR="00D5681A" w:rsidRPr="00817ADF" w:rsidRDefault="00D5681A" w:rsidP="00CB6C69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14:paraId="17267A93" w14:textId="559E241D" w:rsidR="003E47A4" w:rsidRPr="00817ADF" w:rsidRDefault="00CB6C69" w:rsidP="003E47A4">
      <w:pPr>
        <w:shd w:val="clear" w:color="auto" w:fill="FFFFFF"/>
        <w:jc w:val="both"/>
        <w:rPr>
          <w:rFonts w:ascii="Arial" w:hAnsi="Arial" w:cs="Arial"/>
          <w:lang w:eastAsia="es-MX"/>
        </w:rPr>
      </w:pPr>
      <w:r w:rsidRPr="00817ADF">
        <w:rPr>
          <w:rFonts w:ascii="Arial" w:hAnsi="Arial" w:cs="Arial"/>
          <w:b/>
          <w:bCs/>
          <w:lang w:eastAsia="es-MX"/>
        </w:rPr>
        <w:t>SEGUNDO.</w:t>
      </w:r>
      <w:r w:rsidRPr="00817ADF">
        <w:rPr>
          <w:rFonts w:ascii="Arial" w:hAnsi="Arial" w:cs="Arial"/>
          <w:lang w:eastAsia="es-MX"/>
        </w:rPr>
        <w:t xml:space="preserve"> </w:t>
      </w:r>
      <w:r w:rsidR="009425A6">
        <w:rPr>
          <w:rFonts w:ascii="Arial" w:hAnsi="Arial" w:cs="Arial"/>
          <w:lang w:eastAsia="es-MX"/>
        </w:rPr>
        <w:t>Dentro del</w:t>
      </w:r>
      <w:r w:rsidR="003E47A4" w:rsidRPr="00817ADF">
        <w:rPr>
          <w:rFonts w:ascii="Arial" w:hAnsi="Arial" w:cs="Arial"/>
          <w:lang w:eastAsia="es-MX"/>
        </w:rPr>
        <w:t xml:space="preserve"> Transitorio Primero, se estableció que dichos Lineamientos entrarían en vigor al día siguiente de su aprobación por el Pleno de la Comisión de Transparencia y Acceso a la Información del Estado de Nuevo León. </w:t>
      </w:r>
    </w:p>
    <w:p w14:paraId="0A10FC75" w14:textId="77777777" w:rsidR="00D5681A" w:rsidRPr="00817ADF" w:rsidRDefault="00D5681A" w:rsidP="003E47A4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14:paraId="530E1FB0" w14:textId="64F1F584" w:rsidR="003E47A4" w:rsidRPr="00817ADF" w:rsidRDefault="003E47A4" w:rsidP="003E47A4">
      <w:pPr>
        <w:shd w:val="clear" w:color="auto" w:fill="FFFFFF"/>
        <w:jc w:val="both"/>
        <w:rPr>
          <w:rFonts w:ascii="Arial" w:hAnsi="Arial" w:cs="Arial"/>
          <w:lang w:eastAsia="es-MX"/>
        </w:rPr>
      </w:pPr>
      <w:r w:rsidRPr="00817ADF">
        <w:rPr>
          <w:rFonts w:ascii="Arial" w:hAnsi="Arial" w:cs="Arial"/>
          <w:lang w:eastAsia="es-MX"/>
        </w:rPr>
        <w:t xml:space="preserve">Además, </w:t>
      </w:r>
      <w:r w:rsidR="009A6670">
        <w:rPr>
          <w:rFonts w:ascii="Arial" w:hAnsi="Arial" w:cs="Arial"/>
          <w:lang w:eastAsia="es-MX"/>
        </w:rPr>
        <w:t xml:space="preserve">en </w:t>
      </w:r>
      <w:r w:rsidRPr="00817ADF">
        <w:rPr>
          <w:rFonts w:ascii="Arial" w:hAnsi="Arial" w:cs="Arial"/>
          <w:lang w:eastAsia="es-MX"/>
        </w:rPr>
        <w:t xml:space="preserve">el Transitorio Segundo, </w:t>
      </w:r>
      <w:r w:rsidR="009425A6">
        <w:rPr>
          <w:rFonts w:ascii="Arial" w:hAnsi="Arial" w:cs="Arial"/>
          <w:lang w:eastAsia="es-MX"/>
        </w:rPr>
        <w:t>se asentó</w:t>
      </w:r>
      <w:r w:rsidRPr="00817ADF">
        <w:rPr>
          <w:rFonts w:ascii="Arial" w:hAnsi="Arial" w:cs="Arial"/>
          <w:lang w:eastAsia="es-MX"/>
        </w:rPr>
        <w:t xml:space="preserve"> que la Comisión debía elaborar la Guía Simple de Archivo, el Cuadro General de Clasificación Archivística y el primer Catálogo de Disposición Documental, a más tardar en el lapso de 270 doscientos setenta días hábiles, contados a partir del día siguiente al de la aprobación. </w:t>
      </w:r>
    </w:p>
    <w:p w14:paraId="2AE62926" w14:textId="48B1DA1D" w:rsidR="003E47A4" w:rsidRPr="00817ADF" w:rsidRDefault="003E47A4" w:rsidP="003E47A4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14:paraId="6A095A8E" w14:textId="77777777" w:rsidR="00D5681A" w:rsidRPr="00817ADF" w:rsidRDefault="00D5681A" w:rsidP="003E47A4">
      <w:pPr>
        <w:shd w:val="clear" w:color="auto" w:fill="FFFFFF"/>
        <w:jc w:val="both"/>
        <w:rPr>
          <w:rFonts w:ascii="Arial" w:hAnsi="Arial" w:cs="Arial"/>
          <w:lang w:eastAsia="es-MX"/>
        </w:rPr>
      </w:pPr>
    </w:p>
    <w:p w14:paraId="1FD2EBB1" w14:textId="75809689" w:rsidR="00817ADF" w:rsidRDefault="00CB6C69" w:rsidP="003E47A4">
      <w:pPr>
        <w:shd w:val="clear" w:color="auto" w:fill="FFFFFF"/>
        <w:jc w:val="both"/>
        <w:rPr>
          <w:rFonts w:ascii="Arial" w:hAnsi="Arial" w:cs="Arial"/>
        </w:rPr>
      </w:pPr>
      <w:r w:rsidRPr="00817ADF">
        <w:rPr>
          <w:rFonts w:ascii="Arial" w:hAnsi="Arial" w:cs="Arial"/>
          <w:b/>
          <w:bCs/>
        </w:rPr>
        <w:t>TERCERO.</w:t>
      </w:r>
      <w:r w:rsidRPr="00817ADF">
        <w:rPr>
          <w:rFonts w:ascii="Arial" w:hAnsi="Arial" w:cs="Arial"/>
        </w:rPr>
        <w:t xml:space="preserve"> </w:t>
      </w:r>
      <w:r w:rsidR="003E47A4" w:rsidRPr="00817ADF">
        <w:rPr>
          <w:rFonts w:ascii="Arial" w:hAnsi="Arial" w:cs="Arial"/>
        </w:rPr>
        <w:t>En virtud de lo anterior, mediante la vigésima quinta sesión ordinaria de 2017 dos mil diecisiete</w:t>
      </w:r>
      <w:r w:rsidR="009425A6">
        <w:rPr>
          <w:rFonts w:ascii="Arial" w:hAnsi="Arial" w:cs="Arial"/>
        </w:rPr>
        <w:t>,</w:t>
      </w:r>
      <w:r w:rsidR="003E47A4" w:rsidRPr="00817ADF">
        <w:rPr>
          <w:rFonts w:ascii="Arial" w:hAnsi="Arial" w:cs="Arial"/>
        </w:rPr>
        <w:t xml:space="preserve"> de la Comisión de Transparencia y Acceso a la Información del Estado de Nuevo León, celebrada el 28 veintiocho de junio de 2017 dos mil diecisiete, el Pleno aprobó los documentos referidos</w:t>
      </w:r>
      <w:r w:rsidR="009A6670">
        <w:rPr>
          <w:rFonts w:ascii="Arial" w:hAnsi="Arial" w:cs="Arial"/>
        </w:rPr>
        <w:t xml:space="preserve"> en el punto anterior</w:t>
      </w:r>
      <w:r w:rsidR="003E47A4" w:rsidRPr="00817ADF">
        <w:rPr>
          <w:rFonts w:ascii="Arial" w:hAnsi="Arial" w:cs="Arial"/>
        </w:rPr>
        <w:t>.</w:t>
      </w:r>
    </w:p>
    <w:p w14:paraId="3DB60898" w14:textId="24DD635A" w:rsidR="00817ADF" w:rsidRDefault="00817ADF" w:rsidP="003E47A4">
      <w:pPr>
        <w:shd w:val="clear" w:color="auto" w:fill="FFFFFF"/>
        <w:jc w:val="both"/>
        <w:rPr>
          <w:rFonts w:ascii="Arial" w:hAnsi="Arial" w:cs="Arial"/>
        </w:rPr>
      </w:pPr>
    </w:p>
    <w:p w14:paraId="5C392F0A" w14:textId="77777777" w:rsidR="00AE3A01" w:rsidRDefault="00AE3A01" w:rsidP="003E47A4">
      <w:pPr>
        <w:shd w:val="clear" w:color="auto" w:fill="FFFFFF"/>
        <w:jc w:val="both"/>
        <w:rPr>
          <w:rFonts w:ascii="Arial" w:hAnsi="Arial" w:cs="Arial"/>
        </w:rPr>
      </w:pPr>
    </w:p>
    <w:p w14:paraId="0F50A66B" w14:textId="70D8EFCD" w:rsidR="00817ADF" w:rsidRDefault="00817ADF" w:rsidP="00AE3A01">
      <w:pPr>
        <w:shd w:val="clear" w:color="auto" w:fill="FFFFFF"/>
        <w:jc w:val="both"/>
        <w:rPr>
          <w:rFonts w:ascii="Arial" w:hAnsi="Arial" w:cs="Arial"/>
          <w:i/>
          <w:iCs/>
        </w:rPr>
      </w:pPr>
      <w:r w:rsidRPr="00817ADF">
        <w:rPr>
          <w:rFonts w:ascii="Arial" w:hAnsi="Arial" w:cs="Arial"/>
          <w:b/>
          <w:bCs/>
        </w:rPr>
        <w:t>CUARTO.</w:t>
      </w:r>
      <w:r>
        <w:rPr>
          <w:rFonts w:ascii="Arial" w:hAnsi="Arial" w:cs="Arial"/>
          <w:b/>
          <w:bCs/>
        </w:rPr>
        <w:t xml:space="preserve"> </w:t>
      </w:r>
      <w:r w:rsidR="00AE3A01">
        <w:rPr>
          <w:rFonts w:ascii="Arial" w:hAnsi="Arial" w:cs="Arial"/>
        </w:rPr>
        <w:t>En fecha 15 quince de junio de 2018 dos mil dieciocho</w:t>
      </w:r>
      <w:r w:rsidR="009425A6">
        <w:rPr>
          <w:rFonts w:ascii="Arial" w:hAnsi="Arial" w:cs="Arial"/>
        </w:rPr>
        <w:t>,</w:t>
      </w:r>
      <w:r w:rsidR="00AE3A01">
        <w:rPr>
          <w:rFonts w:ascii="Arial" w:hAnsi="Arial" w:cs="Arial"/>
        </w:rPr>
        <w:t xml:space="preserve"> fue publicada en el </w:t>
      </w:r>
      <w:r w:rsidR="00AE3A01" w:rsidRPr="00AE3A01">
        <w:rPr>
          <w:rFonts w:ascii="Arial" w:hAnsi="Arial" w:cs="Arial"/>
        </w:rPr>
        <w:t xml:space="preserve">Diario Oficial de la Federación </w:t>
      </w:r>
      <w:r w:rsidR="00AE3A01">
        <w:rPr>
          <w:rFonts w:ascii="Arial" w:hAnsi="Arial" w:cs="Arial"/>
        </w:rPr>
        <w:t xml:space="preserve">la </w:t>
      </w:r>
      <w:r w:rsidR="00AE3A01">
        <w:rPr>
          <w:rFonts w:ascii="Arial" w:hAnsi="Arial" w:cs="Arial"/>
          <w:i/>
          <w:iCs/>
        </w:rPr>
        <w:t xml:space="preserve">Ley General de Archivos </w:t>
      </w:r>
      <w:r w:rsidR="00AE3A01">
        <w:rPr>
          <w:rFonts w:ascii="Arial" w:hAnsi="Arial" w:cs="Arial"/>
        </w:rPr>
        <w:t xml:space="preserve">misma que entró en </w:t>
      </w:r>
      <w:r w:rsidR="00AE3A01" w:rsidRPr="00AE3A01">
        <w:rPr>
          <w:rFonts w:ascii="Arial" w:hAnsi="Arial" w:cs="Arial"/>
        </w:rPr>
        <w:t>vigor a los 365 días siguientes contados a partir de dicha publicación.</w:t>
      </w:r>
      <w:r w:rsidR="00AE3A01">
        <w:rPr>
          <w:rFonts w:ascii="Arial" w:hAnsi="Arial" w:cs="Arial"/>
          <w:i/>
          <w:iCs/>
        </w:rPr>
        <w:t xml:space="preserve"> </w:t>
      </w:r>
    </w:p>
    <w:p w14:paraId="519A3B2F" w14:textId="7D7644BF" w:rsidR="00AE3A01" w:rsidRDefault="00AE3A01" w:rsidP="00AE3A01">
      <w:pPr>
        <w:shd w:val="clear" w:color="auto" w:fill="FFFFFF"/>
        <w:jc w:val="both"/>
        <w:rPr>
          <w:rFonts w:ascii="Arial" w:hAnsi="Arial" w:cs="Arial"/>
        </w:rPr>
      </w:pPr>
    </w:p>
    <w:p w14:paraId="3D38535D" w14:textId="77777777" w:rsidR="00AE3A01" w:rsidRPr="00AE3A01" w:rsidRDefault="00AE3A01" w:rsidP="00AE3A01">
      <w:pPr>
        <w:shd w:val="clear" w:color="auto" w:fill="FFFFFF"/>
        <w:jc w:val="both"/>
        <w:rPr>
          <w:rFonts w:ascii="Arial" w:hAnsi="Arial" w:cs="Arial"/>
        </w:rPr>
      </w:pPr>
    </w:p>
    <w:p w14:paraId="1F58E1CA" w14:textId="6F9E6264" w:rsidR="00427878" w:rsidRPr="00427878" w:rsidRDefault="00817ADF" w:rsidP="00427878">
      <w:pPr>
        <w:shd w:val="clear" w:color="auto" w:fill="FFFFFF"/>
        <w:jc w:val="both"/>
        <w:rPr>
          <w:rFonts w:ascii="Arial" w:hAnsi="Arial" w:cs="Arial"/>
        </w:rPr>
      </w:pPr>
      <w:r w:rsidRPr="00817ADF">
        <w:rPr>
          <w:rFonts w:ascii="Arial" w:hAnsi="Arial" w:cs="Arial"/>
          <w:b/>
          <w:bCs/>
        </w:rPr>
        <w:lastRenderedPageBreak/>
        <w:t xml:space="preserve">QUINTO. </w:t>
      </w:r>
      <w:r w:rsidR="00AE3A01">
        <w:rPr>
          <w:rFonts w:ascii="Arial" w:hAnsi="Arial" w:cs="Arial"/>
        </w:rPr>
        <w:t xml:space="preserve">Posteriormente, </w:t>
      </w:r>
      <w:r w:rsidR="00427878">
        <w:rPr>
          <w:rFonts w:ascii="Arial" w:hAnsi="Arial" w:cs="Arial"/>
        </w:rPr>
        <w:t xml:space="preserve">el 04 cuatro de noviembre de 2019 dos mil diecinueve fue publicada en el </w:t>
      </w:r>
      <w:r w:rsidR="00427878" w:rsidRPr="00427878">
        <w:rPr>
          <w:rFonts w:ascii="Arial" w:hAnsi="Arial" w:cs="Arial"/>
        </w:rPr>
        <w:t>Periódico Oficial</w:t>
      </w:r>
      <w:r w:rsidR="00427878">
        <w:rPr>
          <w:rFonts w:ascii="Arial" w:hAnsi="Arial" w:cs="Arial"/>
        </w:rPr>
        <w:t xml:space="preserve"> del Estado la </w:t>
      </w:r>
      <w:r w:rsidR="00427878">
        <w:rPr>
          <w:rFonts w:ascii="Arial" w:hAnsi="Arial" w:cs="Arial"/>
          <w:i/>
          <w:iCs/>
        </w:rPr>
        <w:t xml:space="preserve">Ley de Archivos para el Estado de Nuevo León, </w:t>
      </w:r>
      <w:r w:rsidR="00427878" w:rsidRPr="00427878">
        <w:rPr>
          <w:rFonts w:ascii="Arial" w:hAnsi="Arial" w:cs="Arial"/>
        </w:rPr>
        <w:t>la cua</w:t>
      </w:r>
      <w:r w:rsidR="00427878">
        <w:rPr>
          <w:rFonts w:ascii="Arial" w:hAnsi="Arial" w:cs="Arial"/>
        </w:rPr>
        <w:t xml:space="preserve">l entró en vigor </w:t>
      </w:r>
      <w:r w:rsidR="00427878" w:rsidRPr="00427878">
        <w:rPr>
          <w:rFonts w:ascii="Arial" w:hAnsi="Arial" w:cs="Arial"/>
        </w:rPr>
        <w:t>a los 365 días hábiles siguientes</w:t>
      </w:r>
      <w:r w:rsidR="00427878">
        <w:rPr>
          <w:rFonts w:ascii="Arial" w:hAnsi="Arial" w:cs="Arial"/>
        </w:rPr>
        <w:t xml:space="preserve"> </w:t>
      </w:r>
      <w:r w:rsidR="00427878" w:rsidRPr="00427878">
        <w:rPr>
          <w:rFonts w:ascii="Arial" w:hAnsi="Arial" w:cs="Arial"/>
        </w:rPr>
        <w:t>contados a partir del día siguiente de su publicación</w:t>
      </w:r>
      <w:r w:rsidR="00427878">
        <w:rPr>
          <w:rFonts w:ascii="Arial" w:hAnsi="Arial" w:cs="Arial"/>
        </w:rPr>
        <w:t xml:space="preserve">. </w:t>
      </w:r>
    </w:p>
    <w:p w14:paraId="5135AC00" w14:textId="2AD06C2A" w:rsidR="00AE3A01" w:rsidRDefault="00AE3A01" w:rsidP="003E47A4">
      <w:pPr>
        <w:shd w:val="clear" w:color="auto" w:fill="FFFFFF"/>
        <w:jc w:val="both"/>
        <w:rPr>
          <w:rFonts w:ascii="Arial" w:hAnsi="Arial" w:cs="Arial"/>
        </w:rPr>
      </w:pPr>
    </w:p>
    <w:p w14:paraId="18D24A9F" w14:textId="77777777" w:rsidR="0053114A" w:rsidRPr="00AE3A01" w:rsidRDefault="0053114A" w:rsidP="003E47A4">
      <w:pPr>
        <w:shd w:val="clear" w:color="auto" w:fill="FFFFFF"/>
        <w:jc w:val="both"/>
        <w:rPr>
          <w:rFonts w:ascii="Arial" w:hAnsi="Arial" w:cs="Arial"/>
        </w:rPr>
      </w:pPr>
    </w:p>
    <w:p w14:paraId="1DAFD764" w14:textId="6AEB480D" w:rsidR="0000566C" w:rsidRDefault="00817ADF" w:rsidP="003E47A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SEXTO</w:t>
      </w:r>
      <w:r w:rsidR="003E47A4" w:rsidRPr="00817ADF">
        <w:rPr>
          <w:rFonts w:ascii="Arial" w:hAnsi="Arial" w:cs="Arial"/>
          <w:b/>
          <w:bCs/>
        </w:rPr>
        <w:t xml:space="preserve">. </w:t>
      </w:r>
      <w:r w:rsidR="00427878">
        <w:rPr>
          <w:rFonts w:ascii="Arial" w:hAnsi="Arial" w:cs="Arial"/>
        </w:rPr>
        <w:t>Luego, con</w:t>
      </w:r>
      <w:r w:rsidR="0000566C" w:rsidRPr="00817ADF">
        <w:rPr>
          <w:rFonts w:ascii="Arial" w:hAnsi="Arial" w:cs="Arial"/>
        </w:rPr>
        <w:t xml:space="preserve"> el objeto de apegar la actuación de este Órgano Interno de Control a las disposiciones legales en materia archivística</w:t>
      </w:r>
      <w:r w:rsidR="00BF1766" w:rsidRPr="00817ADF">
        <w:rPr>
          <w:rFonts w:ascii="Arial" w:hAnsi="Arial" w:cs="Arial"/>
        </w:rPr>
        <w:t xml:space="preserve"> vigente</w:t>
      </w:r>
      <w:r w:rsidR="0000566C" w:rsidRPr="00817ADF">
        <w:rPr>
          <w:rFonts w:ascii="Arial" w:hAnsi="Arial" w:cs="Arial"/>
        </w:rPr>
        <w:t xml:space="preserve">, fue empleada una sección sustantiva y diversas </w:t>
      </w:r>
      <w:r w:rsidR="00BF1766" w:rsidRPr="00817ADF">
        <w:rPr>
          <w:rFonts w:ascii="Arial" w:hAnsi="Arial" w:cs="Arial"/>
        </w:rPr>
        <w:t>series</w:t>
      </w:r>
      <w:r>
        <w:rPr>
          <w:rFonts w:ascii="Arial" w:hAnsi="Arial" w:cs="Arial"/>
        </w:rPr>
        <w:t xml:space="preserve">, en el periodo comprendido de noviembre 2020 dos mil veinte, al día </w:t>
      </w:r>
      <w:r w:rsidR="00B77632">
        <w:rPr>
          <w:rFonts w:ascii="Arial" w:hAnsi="Arial" w:cs="Arial"/>
        </w:rPr>
        <w:t>04 cuatro de enero de 2022 dos mil veintidós</w:t>
      </w:r>
      <w:r>
        <w:rPr>
          <w:rFonts w:ascii="Arial" w:hAnsi="Arial" w:cs="Arial"/>
        </w:rPr>
        <w:t xml:space="preserve">.  </w:t>
      </w:r>
    </w:p>
    <w:p w14:paraId="00C6A107" w14:textId="5685748D" w:rsidR="00817ADF" w:rsidRDefault="00817ADF" w:rsidP="003E47A4">
      <w:pPr>
        <w:shd w:val="clear" w:color="auto" w:fill="FFFFFF"/>
        <w:jc w:val="both"/>
        <w:rPr>
          <w:rFonts w:ascii="Arial" w:hAnsi="Arial" w:cs="Arial"/>
        </w:rPr>
      </w:pPr>
    </w:p>
    <w:p w14:paraId="58D5274D" w14:textId="77777777" w:rsidR="0053114A" w:rsidRPr="00817ADF" w:rsidRDefault="0053114A" w:rsidP="003E47A4">
      <w:pPr>
        <w:shd w:val="clear" w:color="auto" w:fill="FFFFFF"/>
        <w:jc w:val="both"/>
        <w:rPr>
          <w:rFonts w:ascii="Arial" w:hAnsi="Arial" w:cs="Arial"/>
        </w:rPr>
      </w:pPr>
    </w:p>
    <w:p w14:paraId="697E3D01" w14:textId="51C8F043" w:rsidR="003E47A4" w:rsidRDefault="00817ADF" w:rsidP="00F2056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SÉPTIMO</w:t>
      </w:r>
      <w:r w:rsidR="0000566C" w:rsidRPr="00817ADF">
        <w:rPr>
          <w:rFonts w:ascii="Arial" w:hAnsi="Arial" w:cs="Arial"/>
          <w:b/>
          <w:bCs/>
        </w:rPr>
        <w:t xml:space="preserve">. </w:t>
      </w:r>
      <w:r w:rsidR="003E47A4" w:rsidRPr="00817ADF">
        <w:rPr>
          <w:rFonts w:ascii="Arial" w:hAnsi="Arial" w:cs="Arial"/>
        </w:rPr>
        <w:t>Mediante capacitación de fecha 04 cuatro de febrero de 2022 dos mil veintidós, la Coordinación de Archivo de Trámite de la Comisión de Transparencia y Acceso a la Información del Estado, hizo del conocimiento de los Responsables de Archivo de Trámite de este Órgano Interno de Control que, mediante doceava sesión</w:t>
      </w:r>
      <w:r w:rsidR="003A0F97">
        <w:rPr>
          <w:rFonts w:ascii="Arial" w:hAnsi="Arial" w:cs="Arial"/>
        </w:rPr>
        <w:t xml:space="preserve"> permanente</w:t>
      </w:r>
      <w:r w:rsidR="003E47A4" w:rsidRPr="00817ADF">
        <w:rPr>
          <w:rFonts w:ascii="Arial" w:hAnsi="Arial" w:cs="Arial"/>
        </w:rPr>
        <w:t xml:space="preserve"> del Comité de Transparencia del año 2021 dos mil veintiuno, fueron aprobados diversos cambios al Catálogo de disposición documental de la COTAI. </w:t>
      </w:r>
    </w:p>
    <w:p w14:paraId="4C4A4069" w14:textId="1823F8D8" w:rsidR="0053114A" w:rsidRDefault="0053114A" w:rsidP="003E47A4">
      <w:pPr>
        <w:shd w:val="clear" w:color="auto" w:fill="FFFFFF"/>
        <w:jc w:val="both"/>
        <w:rPr>
          <w:rFonts w:ascii="Arial" w:hAnsi="Arial" w:cs="Arial"/>
        </w:rPr>
      </w:pPr>
    </w:p>
    <w:p w14:paraId="370E32DD" w14:textId="77777777" w:rsidR="00F20564" w:rsidRPr="00817ADF" w:rsidRDefault="00F20564" w:rsidP="003E47A4">
      <w:pPr>
        <w:shd w:val="clear" w:color="auto" w:fill="FFFFFF"/>
        <w:jc w:val="both"/>
        <w:rPr>
          <w:rFonts w:ascii="Arial" w:hAnsi="Arial" w:cs="Arial"/>
        </w:rPr>
      </w:pPr>
    </w:p>
    <w:p w14:paraId="648CE0A5" w14:textId="01A3C768" w:rsidR="00CB6C69" w:rsidRPr="00817ADF" w:rsidRDefault="00CB6C69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CONSIDERANDO</w:t>
      </w:r>
    </w:p>
    <w:p w14:paraId="03258C2B" w14:textId="77777777" w:rsidR="00D5681A" w:rsidRPr="00817ADF" w:rsidRDefault="00D5681A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7315D64" w14:textId="207A6A04" w:rsidR="00D5681A" w:rsidRPr="00817ADF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PRIMERO</w:t>
      </w:r>
      <w:r w:rsidRPr="00817ADF">
        <w:rPr>
          <w:rFonts w:ascii="Arial" w:hAnsi="Arial" w:cs="Arial"/>
          <w:color w:val="000000"/>
        </w:rPr>
        <w:t xml:space="preserve">. En términos de lo establecido en </w:t>
      </w:r>
      <w:r w:rsidR="004A132F" w:rsidRPr="00817ADF">
        <w:rPr>
          <w:rFonts w:ascii="Arial" w:hAnsi="Arial" w:cs="Arial"/>
          <w:color w:val="000000"/>
        </w:rPr>
        <w:t xml:space="preserve">los numerales 10, 11, 12 y 13 de la </w:t>
      </w:r>
      <w:r w:rsidR="004A132F" w:rsidRPr="00817ADF">
        <w:rPr>
          <w:rFonts w:ascii="Arial" w:hAnsi="Arial" w:cs="Arial"/>
          <w:i/>
          <w:iCs/>
          <w:color w:val="000000"/>
        </w:rPr>
        <w:t xml:space="preserve">Ley de Archivos para el Estado de Nuevo León, </w:t>
      </w:r>
      <w:r w:rsidR="004A132F" w:rsidRPr="00817ADF">
        <w:rPr>
          <w:rFonts w:ascii="Arial" w:hAnsi="Arial" w:cs="Arial"/>
          <w:color w:val="000000"/>
        </w:rPr>
        <w:t>corresponde a la Comisión de Transparencia y Acceso a la Información del Estado de Nuevo León, en su calidad de sujeto obligado -entre otras cosas- contar con los instrumentos de control y de consulta archivísticos conforme a sus atribuciones y funciones, manteniéndolos actualizados y disponibles; debiendo contar al menos con los siguientes: I. Cuadro general de clasificación archivística; II. Catálogo de disposición documental; e III. Inventarios documentales.</w:t>
      </w:r>
    </w:p>
    <w:p w14:paraId="1341E99B" w14:textId="27CA154B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F9D44" w14:textId="77777777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6AE83F" w14:textId="55D1019A" w:rsidR="00D5681A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SEGUNDO. </w:t>
      </w:r>
      <w:r w:rsidRPr="00817ADF">
        <w:rPr>
          <w:rFonts w:ascii="Arial" w:hAnsi="Arial" w:cs="Arial"/>
          <w:color w:val="000000"/>
        </w:rPr>
        <w:t xml:space="preserve">El artículo </w:t>
      </w:r>
      <w:r w:rsidR="004A132F" w:rsidRPr="00817ADF">
        <w:rPr>
          <w:rFonts w:ascii="Arial" w:hAnsi="Arial" w:cs="Arial"/>
          <w:color w:val="000000"/>
        </w:rPr>
        <w:t xml:space="preserve">56 del </w:t>
      </w:r>
      <w:r w:rsidR="004A132F" w:rsidRPr="00817ADF">
        <w:rPr>
          <w:rFonts w:ascii="Arial" w:hAnsi="Arial" w:cs="Arial"/>
          <w:i/>
          <w:iCs/>
          <w:color w:val="000000"/>
        </w:rPr>
        <w:t>Reglamento Interior de la Comisión de Transparencia y Acceso a la Información del Estado de Nuevo León</w:t>
      </w:r>
      <w:r w:rsidR="009425A6">
        <w:rPr>
          <w:rFonts w:ascii="Arial" w:hAnsi="Arial" w:cs="Arial"/>
          <w:i/>
          <w:iCs/>
          <w:color w:val="000000"/>
        </w:rPr>
        <w:t>,</w:t>
      </w:r>
      <w:r w:rsidR="004A132F" w:rsidRPr="00817ADF">
        <w:rPr>
          <w:rFonts w:ascii="Arial" w:hAnsi="Arial" w:cs="Arial"/>
          <w:i/>
          <w:iCs/>
          <w:color w:val="000000"/>
        </w:rPr>
        <w:t xml:space="preserve"> </w:t>
      </w:r>
      <w:r w:rsidR="004A132F" w:rsidRPr="00817ADF">
        <w:rPr>
          <w:rFonts w:ascii="Arial" w:hAnsi="Arial" w:cs="Arial"/>
          <w:color w:val="000000"/>
        </w:rPr>
        <w:t xml:space="preserve">dispone que las atribuciones, competencia, estructura y funcionamiento del Órgano Interno de Control de la Comisión, así como la regulación de los procedimientos de responsabilidad administrativa que la misma llevé a cabo, serán establecidas en el Reglamento Interno que para tal efecto expida el Titular de dicho Órgano. </w:t>
      </w:r>
      <w:r w:rsidR="004A132F" w:rsidRPr="00817ADF">
        <w:rPr>
          <w:rFonts w:ascii="Arial" w:hAnsi="Arial" w:cs="Arial"/>
          <w:color w:val="000000"/>
        </w:rPr>
        <w:cr/>
      </w:r>
    </w:p>
    <w:p w14:paraId="4E376442" w14:textId="77777777" w:rsidR="00E76F91" w:rsidRPr="00817ADF" w:rsidRDefault="00E76F91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3FF46ED" w14:textId="3D21137D" w:rsidR="006C6FB7" w:rsidRDefault="00CB6C69" w:rsidP="006C6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TERCERO</w:t>
      </w:r>
      <w:r w:rsidRPr="00817ADF">
        <w:rPr>
          <w:rFonts w:ascii="Arial" w:hAnsi="Arial" w:cs="Arial"/>
          <w:color w:val="000000"/>
        </w:rPr>
        <w:t xml:space="preserve">. </w:t>
      </w:r>
      <w:r w:rsidR="00BE36B9">
        <w:rPr>
          <w:rFonts w:ascii="Arial" w:hAnsi="Arial" w:cs="Arial"/>
          <w:color w:val="000000"/>
        </w:rPr>
        <w:t xml:space="preserve">El numeral 6 del </w:t>
      </w:r>
      <w:r w:rsidR="00BE36B9">
        <w:rPr>
          <w:rFonts w:ascii="Arial" w:hAnsi="Arial" w:cs="Arial"/>
          <w:i/>
          <w:iCs/>
          <w:color w:val="000000"/>
        </w:rPr>
        <w:t xml:space="preserve">Reglamento Interior del Órgano Interno de Control de la Comisión de Transparencia y Acceso a la Información del Estado, </w:t>
      </w:r>
      <w:r w:rsidR="00BE36B9">
        <w:rPr>
          <w:rFonts w:ascii="Arial" w:hAnsi="Arial" w:cs="Arial"/>
          <w:color w:val="000000"/>
        </w:rPr>
        <w:t xml:space="preserve">establece que dicha unidad administrativa </w:t>
      </w:r>
      <w:r w:rsidR="00BE36B9" w:rsidRPr="00BE36B9">
        <w:rPr>
          <w:rFonts w:ascii="Arial" w:hAnsi="Arial" w:cs="Arial"/>
          <w:color w:val="000000"/>
        </w:rPr>
        <w:t>ejercerá sus atribuciones</w:t>
      </w:r>
      <w:r w:rsidR="00BE36B9">
        <w:rPr>
          <w:rFonts w:ascii="Arial" w:hAnsi="Arial" w:cs="Arial"/>
          <w:color w:val="000000"/>
        </w:rPr>
        <w:t xml:space="preserve"> </w:t>
      </w:r>
      <w:r w:rsidR="00BE36B9" w:rsidRPr="00BE36B9">
        <w:rPr>
          <w:rFonts w:ascii="Arial" w:hAnsi="Arial" w:cs="Arial"/>
          <w:color w:val="000000"/>
        </w:rPr>
        <w:t xml:space="preserve">con autonomía técnica y de </w:t>
      </w:r>
      <w:r w:rsidR="00BE36B9" w:rsidRPr="00BE36B9">
        <w:rPr>
          <w:rFonts w:ascii="Arial" w:hAnsi="Arial" w:cs="Arial"/>
          <w:color w:val="000000"/>
        </w:rPr>
        <w:lastRenderedPageBreak/>
        <w:t>gestión, sin depender de criterios u opiniones de</w:t>
      </w:r>
      <w:r w:rsidR="00BE36B9">
        <w:rPr>
          <w:rFonts w:ascii="Arial" w:hAnsi="Arial" w:cs="Arial"/>
          <w:color w:val="000000"/>
        </w:rPr>
        <w:t xml:space="preserve"> </w:t>
      </w:r>
      <w:r w:rsidR="00BE36B9" w:rsidRPr="00BE36B9">
        <w:rPr>
          <w:rFonts w:ascii="Arial" w:hAnsi="Arial" w:cs="Arial"/>
          <w:color w:val="000000"/>
        </w:rPr>
        <w:t xml:space="preserve">terceras personas. </w:t>
      </w:r>
      <w:r w:rsidR="00BE36B9" w:rsidRPr="00BE36B9">
        <w:rPr>
          <w:rFonts w:ascii="Arial" w:hAnsi="Arial" w:cs="Arial"/>
          <w:color w:val="000000"/>
        </w:rPr>
        <w:cr/>
      </w:r>
    </w:p>
    <w:p w14:paraId="38F587CA" w14:textId="77777777" w:rsidR="006C6FB7" w:rsidRDefault="006C6FB7" w:rsidP="006C6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DBC91F" w14:textId="4E886CFA" w:rsidR="00CB6C69" w:rsidRPr="00817ADF" w:rsidRDefault="00BE36B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CUARTO. </w:t>
      </w:r>
      <w:r w:rsidR="00E07866" w:rsidRPr="00817ADF">
        <w:rPr>
          <w:rFonts w:ascii="Arial" w:hAnsi="Arial" w:cs="Arial"/>
          <w:color w:val="000000"/>
        </w:rPr>
        <w:t xml:space="preserve">En atención a lo dispuesto en el artículo 15, fracción III, del </w:t>
      </w:r>
      <w:r w:rsidR="00E07866" w:rsidRPr="00817ADF">
        <w:rPr>
          <w:rFonts w:ascii="Arial" w:hAnsi="Arial" w:cs="Arial"/>
          <w:i/>
          <w:iCs/>
          <w:color w:val="000000"/>
        </w:rPr>
        <w:t xml:space="preserve">Reglamento Interior del Órgano Interno de Control de la Comisión de Transparencia y Acceso a la Información del Estado, </w:t>
      </w:r>
      <w:r w:rsidR="00E07866" w:rsidRPr="00817ADF">
        <w:rPr>
          <w:rFonts w:ascii="Arial" w:hAnsi="Arial" w:cs="Arial"/>
          <w:color w:val="000000"/>
        </w:rPr>
        <w:t xml:space="preserve">el suscrito Titular del Órgano Interno de Control, cuenta con la atribución establecer los mecanismos de recepción de correspondencia y gestión documental necesarios para el ejercicio de sus atribuciones. </w:t>
      </w:r>
    </w:p>
    <w:p w14:paraId="01BF329E" w14:textId="0C86DB71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C9D448F" w14:textId="77777777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0F2883" w14:textId="47202DF7" w:rsidR="0009300F" w:rsidRDefault="00E76F9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QUINTO</w:t>
      </w:r>
      <w:r w:rsidR="00CB6C69" w:rsidRPr="00817ADF">
        <w:rPr>
          <w:rFonts w:ascii="Arial" w:hAnsi="Arial" w:cs="Arial"/>
          <w:b/>
          <w:bCs/>
        </w:rPr>
        <w:t xml:space="preserve">. </w:t>
      </w:r>
      <w:r w:rsidR="00E07866" w:rsidRPr="00817ADF">
        <w:rPr>
          <w:rFonts w:ascii="Arial" w:hAnsi="Arial" w:cs="Arial"/>
        </w:rPr>
        <w:t>Derivado de las modificaciones realizadas a los</w:t>
      </w:r>
      <w:r w:rsidR="0009300F" w:rsidRPr="00817ADF">
        <w:rPr>
          <w:rFonts w:ascii="Arial" w:hAnsi="Arial" w:cs="Arial"/>
        </w:rPr>
        <w:t xml:space="preserve"> </w:t>
      </w:r>
      <w:r w:rsidR="00E07866" w:rsidRPr="00817ADF">
        <w:rPr>
          <w:rFonts w:ascii="Arial" w:hAnsi="Arial" w:cs="Arial"/>
        </w:rPr>
        <w:t>instrumentos de control y de consulta archivísticos,</w:t>
      </w:r>
      <w:r w:rsidR="00B77632">
        <w:rPr>
          <w:rFonts w:ascii="Arial" w:hAnsi="Arial" w:cs="Arial"/>
        </w:rPr>
        <w:t xml:space="preserve"> </w:t>
      </w:r>
      <w:r w:rsidR="00E07866" w:rsidRPr="00817ADF">
        <w:rPr>
          <w:rFonts w:ascii="Arial" w:hAnsi="Arial" w:cs="Arial"/>
        </w:rPr>
        <w:t xml:space="preserve">surge la necesidad de llevar a cabo una homologación de los </w:t>
      </w:r>
      <w:r w:rsidR="00E07866" w:rsidRPr="00F20564">
        <w:rPr>
          <w:rFonts w:ascii="Arial" w:hAnsi="Arial" w:cs="Arial"/>
        </w:rPr>
        <w:t>expedientes formados</w:t>
      </w:r>
      <w:r w:rsidR="0000566C" w:rsidRPr="00F20564">
        <w:rPr>
          <w:rFonts w:ascii="Arial" w:hAnsi="Arial" w:cs="Arial"/>
        </w:rPr>
        <w:t xml:space="preserve"> por las unidades que conforman este Órgano Interno de Control</w:t>
      </w:r>
      <w:r w:rsidR="001E02DD" w:rsidRPr="00F20564">
        <w:rPr>
          <w:rFonts w:ascii="Arial" w:hAnsi="Arial" w:cs="Arial"/>
        </w:rPr>
        <w:t xml:space="preserve"> con anterioridad</w:t>
      </w:r>
      <w:r w:rsidR="007011EC" w:rsidRPr="00F20564">
        <w:rPr>
          <w:rFonts w:ascii="Arial" w:hAnsi="Arial" w:cs="Arial"/>
        </w:rPr>
        <w:t xml:space="preserve"> a la entrada en vigor de dichos instrumentos de control archivístico</w:t>
      </w:r>
      <w:r w:rsidR="003055FC" w:rsidRPr="00F20564">
        <w:rPr>
          <w:rFonts w:ascii="Arial" w:hAnsi="Arial" w:cs="Arial"/>
        </w:rPr>
        <w:t xml:space="preserve">, es decir, previo al 04 cuatro de enero del presente año. </w:t>
      </w:r>
    </w:p>
    <w:p w14:paraId="38903E4A" w14:textId="77777777" w:rsidR="00F20564" w:rsidRPr="00817ADF" w:rsidRDefault="00F20564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584585" w14:textId="72452AA2" w:rsidR="00C40BB9" w:rsidRPr="00817ADF" w:rsidRDefault="00C40BB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91FF59" w14:textId="227FC2E3" w:rsidR="00CB6C69" w:rsidRPr="00817ADF" w:rsidRDefault="00CB6C69" w:rsidP="000056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ACUERDO</w:t>
      </w:r>
    </w:p>
    <w:p w14:paraId="53A27F32" w14:textId="77777777" w:rsidR="0000566C" w:rsidRPr="00817ADF" w:rsidRDefault="0000566C" w:rsidP="000056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0B0F4CC" w14:textId="26659175" w:rsidR="00427878" w:rsidRDefault="00CB6C69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PRIMERO</w:t>
      </w:r>
      <w:r w:rsidRPr="00817ADF">
        <w:rPr>
          <w:rFonts w:ascii="Arial" w:hAnsi="Arial" w:cs="Arial"/>
          <w:color w:val="000000"/>
        </w:rPr>
        <w:t>. El Órgano Interno de Control de la Comisión de Transparencia y Acceso a la Información del Estado,</w:t>
      </w:r>
      <w:r w:rsidR="00427878">
        <w:rPr>
          <w:rFonts w:ascii="Arial" w:hAnsi="Arial" w:cs="Arial"/>
          <w:color w:val="000000"/>
        </w:rPr>
        <w:t xml:space="preserve"> con el objetivo de establecer mecanismos de consulta y localización de los expedientes con los que </w:t>
      </w:r>
      <w:r w:rsidR="00452BFA">
        <w:rPr>
          <w:rFonts w:ascii="Arial" w:hAnsi="Arial" w:cs="Arial"/>
          <w:color w:val="000000"/>
        </w:rPr>
        <w:t>se cuenta</w:t>
      </w:r>
      <w:r w:rsidR="00427878">
        <w:rPr>
          <w:rFonts w:ascii="Arial" w:hAnsi="Arial" w:cs="Arial"/>
          <w:color w:val="000000"/>
        </w:rPr>
        <w:t>,</w:t>
      </w:r>
      <w:r w:rsidR="00452BFA">
        <w:rPr>
          <w:rFonts w:ascii="Arial" w:hAnsi="Arial" w:cs="Arial"/>
          <w:color w:val="000000"/>
        </w:rPr>
        <w:t xml:space="preserve"> además de empatar con las disposiciones internas en materia de archivos y gestión documental de la Comisión de Transparencia y Acceso a la Información del Estado de Nuevo León, </w:t>
      </w:r>
      <w:r w:rsidR="00427878">
        <w:rPr>
          <w:rFonts w:ascii="Arial" w:hAnsi="Arial" w:cs="Arial"/>
          <w:color w:val="000000"/>
        </w:rPr>
        <w:t>tiene a bien emitir una tabla de equivalencias que permita identificar</w:t>
      </w:r>
      <w:r w:rsidR="003055FC">
        <w:rPr>
          <w:rFonts w:ascii="Arial" w:hAnsi="Arial" w:cs="Arial"/>
          <w:color w:val="000000"/>
        </w:rPr>
        <w:t>, en su caso,</w:t>
      </w:r>
      <w:r w:rsidR="00427878">
        <w:rPr>
          <w:rFonts w:ascii="Arial" w:hAnsi="Arial" w:cs="Arial"/>
          <w:color w:val="000000"/>
        </w:rPr>
        <w:t xml:space="preserve"> a qué serie documental </w:t>
      </w:r>
      <w:r w:rsidR="001A6BE4">
        <w:rPr>
          <w:rFonts w:ascii="Arial" w:hAnsi="Arial" w:cs="Arial"/>
          <w:color w:val="000000"/>
        </w:rPr>
        <w:t>pertenecían</w:t>
      </w:r>
      <w:r w:rsidR="00427878">
        <w:rPr>
          <w:rFonts w:ascii="Arial" w:hAnsi="Arial" w:cs="Arial"/>
          <w:color w:val="000000"/>
        </w:rPr>
        <w:t xml:space="preserve"> y a cuál se trasladarán. Lo anterior, a fin de contribuir a la eficiencia y eficacia de la administración pública, la correcta gestión documental y el avance institucional. </w:t>
      </w:r>
    </w:p>
    <w:p w14:paraId="3968D064" w14:textId="050F59A8" w:rsidR="00427878" w:rsidRDefault="00427878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8EF46E4" w14:textId="4E7F6FE5" w:rsidR="00427878" w:rsidRDefault="00427878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595E2AE" w14:textId="542F3A81" w:rsidR="00C40BB9" w:rsidRDefault="00427878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Conviene señalar que esta tabla tiene aplicabilidad para los expedientes formados </w:t>
      </w:r>
      <w:r w:rsidR="0055514A">
        <w:rPr>
          <w:rFonts w:ascii="Arial" w:hAnsi="Arial" w:cs="Arial"/>
          <w:color w:val="000000"/>
        </w:rPr>
        <w:t xml:space="preserve">durante la vigencia </w:t>
      </w:r>
      <w:r w:rsidR="00C40BB9" w:rsidRPr="00817ADF">
        <w:rPr>
          <w:rFonts w:ascii="Arial" w:hAnsi="Arial" w:cs="Arial"/>
          <w:color w:val="000000"/>
        </w:rPr>
        <w:t>de la Guía Simple de Archivo, el Cuadro General de Clasificación Archivística y Catálogo de Disposición Documental, aprobados mediante la vigésima quinta sesión ordinaria de 2017 dos mil diecisiete de la Comisión de Transparencia y Acceso a la Información del Estado de Nuevo León, celebrada el 28 veintiocho de junio de 2017 dos mil diecisiete</w:t>
      </w:r>
      <w:r w:rsidR="0055514A">
        <w:rPr>
          <w:rFonts w:ascii="Arial" w:hAnsi="Arial" w:cs="Arial"/>
          <w:color w:val="000000"/>
        </w:rPr>
        <w:t xml:space="preserve">, hasta el mes de </w:t>
      </w:r>
      <w:r w:rsidR="009E6790">
        <w:rPr>
          <w:rFonts w:ascii="Arial" w:hAnsi="Arial" w:cs="Arial"/>
          <w:color w:val="000000"/>
        </w:rPr>
        <w:t>octubre</w:t>
      </w:r>
      <w:r w:rsidR="0055514A">
        <w:rPr>
          <w:rFonts w:ascii="Arial" w:hAnsi="Arial" w:cs="Arial"/>
          <w:color w:val="000000"/>
        </w:rPr>
        <w:t xml:space="preserve"> de 2020 dos mil veinte. </w:t>
      </w:r>
    </w:p>
    <w:p w14:paraId="4C4096B0" w14:textId="64E1B3E1" w:rsidR="0053114A" w:rsidRDefault="0053114A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1BEA5B1" w14:textId="09C5201B" w:rsidR="0053114A" w:rsidRPr="00817ADF" w:rsidRDefault="0053114A" w:rsidP="0053114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3114A">
        <w:rPr>
          <w:rFonts w:ascii="Arial" w:hAnsi="Arial" w:cs="Arial"/>
          <w:b/>
          <w:bCs/>
          <w:color w:val="000000"/>
        </w:rPr>
        <w:t>Tabla de equivalencias de series documentales</w:t>
      </w:r>
      <w:r>
        <w:rPr>
          <w:rFonts w:ascii="Arial" w:hAnsi="Arial" w:cs="Arial"/>
          <w:color w:val="000000"/>
        </w:rPr>
        <w:t>.</w:t>
      </w:r>
    </w:p>
    <w:p w14:paraId="57FADE30" w14:textId="4E2AAB5B" w:rsidR="00C40BB9" w:rsidRPr="00817ADF" w:rsidRDefault="00C40BB9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276"/>
        <w:gridCol w:w="3253"/>
      </w:tblGrid>
      <w:tr w:rsidR="00184BE2" w:rsidRPr="00817ADF" w14:paraId="06A5350C" w14:textId="77777777" w:rsidTr="009A6670">
        <w:trPr>
          <w:trHeight w:val="49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7E87DE3" w14:textId="77777777" w:rsidR="00184BE2" w:rsidRPr="00817ADF" w:rsidRDefault="00184BE2" w:rsidP="002D25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Sección y series anteriores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D321D91" w14:textId="77777777" w:rsidR="00184BE2" w:rsidRPr="00817ADF" w:rsidRDefault="00184BE2" w:rsidP="002D25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Sección y series vigentes</w:t>
            </w:r>
          </w:p>
        </w:tc>
      </w:tr>
      <w:tr w:rsidR="00184BE2" w:rsidRPr="00817ADF" w14:paraId="7422B8BC" w14:textId="77777777" w:rsidTr="009A6670">
        <w:trPr>
          <w:trHeight w:val="49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BA18" w14:textId="4AE8BAC7" w:rsidR="00184BE2" w:rsidRPr="00817ADF" w:rsidRDefault="00930493" w:rsidP="002D256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lang w:val="es-MX" w:eastAsia="es-MX"/>
              </w:rPr>
              <w:t xml:space="preserve">Sección: </w:t>
            </w:r>
            <w:r w:rsidRPr="00817AD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SC10C</w:t>
            </w:r>
            <w:r w:rsidR="00FA105F" w:rsidRPr="00817AD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Control y auditoría de actividades públicas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1FEF0D" w14:textId="77777777" w:rsidR="00184BE2" w:rsidRPr="00817ADF" w:rsidRDefault="00184BE2" w:rsidP="002D256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Sección: 10C Control y Auditoría de Actividades Públicas</w:t>
            </w:r>
          </w:p>
        </w:tc>
      </w:tr>
      <w:tr w:rsidR="00930493" w:rsidRPr="00817ADF" w14:paraId="4D8E482D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FD87" w14:textId="638ACABC" w:rsidR="00930493" w:rsidRPr="00817ADF" w:rsidRDefault="00930493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lastRenderedPageBreak/>
              <w:t>SE01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05A" w14:textId="3FD88F55" w:rsidR="00930493" w:rsidRPr="00817ADF" w:rsidRDefault="00930493" w:rsidP="00930493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Disposiciones en materia de control y auditoría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DD5C" w14:textId="77777777" w:rsidR="00930493" w:rsidRPr="00817ADF" w:rsidRDefault="00930493" w:rsidP="001313E2">
            <w:pPr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10C.02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2E6" w14:textId="77777777" w:rsidR="00930493" w:rsidRPr="00817ADF" w:rsidRDefault="00930493" w:rsidP="00930493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Programas y proyectos en materia de control y auditoría           </w:t>
            </w:r>
          </w:p>
        </w:tc>
      </w:tr>
      <w:tr w:rsidR="003A729E" w:rsidRPr="00817ADF" w14:paraId="78FAB77A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D025" w14:textId="5E90721A" w:rsidR="003A729E" w:rsidRPr="00817ADF" w:rsidRDefault="003A729E" w:rsidP="003A729E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SE02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0791" w14:textId="429F1B42" w:rsidR="003A729E" w:rsidRPr="00817ADF" w:rsidRDefault="003A729E" w:rsidP="003A729E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Programas y proyectos en materia de control y auditoría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FD46" w14:textId="588316E6" w:rsidR="003A729E" w:rsidRPr="00817ADF" w:rsidRDefault="003A729E" w:rsidP="003A729E">
            <w:pPr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10C.02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37BA" w14:textId="35763995" w:rsidR="003A729E" w:rsidRPr="00817ADF" w:rsidRDefault="003A729E" w:rsidP="003A729E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Programas y proyectos en materia de control y auditoría           </w:t>
            </w:r>
          </w:p>
        </w:tc>
      </w:tr>
      <w:tr w:rsidR="003A729E" w:rsidRPr="00817ADF" w14:paraId="5DFD1D94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C84" w14:textId="6676272F" w:rsidR="003A729E" w:rsidRPr="00817ADF" w:rsidRDefault="003A729E" w:rsidP="003A729E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SE03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DE8" w14:textId="23D3FE01" w:rsidR="003A729E" w:rsidRPr="00817ADF" w:rsidRDefault="003A729E" w:rsidP="003A729E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Auditoría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81D6" w14:textId="25EFA568" w:rsidR="003A729E" w:rsidRPr="00817ADF" w:rsidRDefault="003A729E" w:rsidP="003A729E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10C.03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BF70" w14:textId="06351D27" w:rsidR="003A729E" w:rsidRPr="00817ADF" w:rsidRDefault="003A729E" w:rsidP="003A729E">
            <w:pPr>
              <w:jc w:val="both"/>
              <w:rPr>
                <w:rFonts w:ascii="Arial" w:hAnsi="Arial" w:cs="Arial"/>
                <w:color w:val="FF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Auditoría </w:t>
            </w:r>
          </w:p>
        </w:tc>
      </w:tr>
      <w:tr w:rsidR="003A729E" w:rsidRPr="00817ADF" w14:paraId="01A7FBD4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9433" w14:textId="5DCA2AD0" w:rsidR="003A729E" w:rsidRPr="00817ADF" w:rsidRDefault="003A729E" w:rsidP="003A729E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55C5" w14:textId="430B7CF5" w:rsidR="003A729E" w:rsidRPr="00817ADF" w:rsidRDefault="003A729E" w:rsidP="003A729E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Plan de Acciones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6053" w14:textId="20134A16" w:rsidR="003A729E" w:rsidRPr="00817ADF" w:rsidRDefault="003A729E" w:rsidP="003A729E">
            <w:pPr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10C.02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3070" w14:textId="773B5477" w:rsidR="003A729E" w:rsidRPr="00817ADF" w:rsidRDefault="003A729E" w:rsidP="003A729E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Programas y proyectos en materia de control y auditoría           </w:t>
            </w:r>
          </w:p>
        </w:tc>
      </w:tr>
      <w:tr w:rsidR="003A729E" w:rsidRPr="00817ADF" w14:paraId="20818D84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9DE7" w14:textId="2FD94741" w:rsidR="003A729E" w:rsidRPr="00817ADF" w:rsidRDefault="003A729E" w:rsidP="003A729E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F00" w14:textId="58C4582F" w:rsidR="003A729E" w:rsidRPr="00817ADF" w:rsidRDefault="003A729E" w:rsidP="003A729E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Sistema de gestión de 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E4C" w14:textId="22C19722" w:rsidR="003A729E" w:rsidRPr="00817ADF" w:rsidRDefault="003A729E" w:rsidP="003A729E">
            <w:pPr>
              <w:rPr>
                <w:rFonts w:ascii="Arial" w:hAnsi="Arial" w:cs="Arial"/>
                <w:color w:val="FF0000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10C.02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340" w14:textId="7767A058" w:rsidR="003A729E" w:rsidRPr="00817ADF" w:rsidRDefault="003A729E" w:rsidP="003A729E">
            <w:pPr>
              <w:jc w:val="both"/>
              <w:rPr>
                <w:rFonts w:ascii="Arial" w:hAnsi="Arial" w:cs="Arial"/>
                <w:color w:val="FF0000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Programas y proyectos en materia de control y auditoría           </w:t>
            </w:r>
          </w:p>
        </w:tc>
      </w:tr>
      <w:tr w:rsidR="001313E2" w:rsidRPr="00817ADF" w14:paraId="4D3DBE97" w14:textId="77777777" w:rsidTr="009A6670">
        <w:trPr>
          <w:trHeight w:val="5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BFD2" w14:textId="3D8F4C59" w:rsidR="001313E2" w:rsidRPr="00817ADF" w:rsidRDefault="001313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9DFA" w14:textId="69273851" w:rsidR="001313E2" w:rsidRPr="00817ADF" w:rsidRDefault="001313E2" w:rsidP="001313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Procesos de responsabilidad administrativa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C9F" w14:textId="49D4E806" w:rsidR="001313E2" w:rsidRPr="00817ADF" w:rsidRDefault="001313E2" w:rsidP="001313E2">
            <w:pPr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10C.11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091" w14:textId="39B67136" w:rsidR="001313E2" w:rsidRPr="00817ADF" w:rsidRDefault="001313E2" w:rsidP="001313E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Responsabilidades Administrativas                                                                     </w:t>
            </w:r>
          </w:p>
        </w:tc>
      </w:tr>
      <w:tr w:rsidR="001313E2" w:rsidRPr="00817ADF" w14:paraId="62420F1D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EE3" w14:textId="2C807835" w:rsidR="001313E2" w:rsidRPr="00817ADF" w:rsidRDefault="001313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97A" w14:textId="5443E85A" w:rsidR="001313E2" w:rsidRPr="00817ADF" w:rsidRDefault="001313E2" w:rsidP="001313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Actas de entrega-recepción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FD15" w14:textId="39E99650" w:rsidR="001313E2" w:rsidRPr="00817ADF" w:rsidRDefault="001313E2" w:rsidP="001313E2">
            <w:pPr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10C.15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FE93" w14:textId="794ED163" w:rsidR="001313E2" w:rsidRPr="00817ADF" w:rsidRDefault="001313E2" w:rsidP="001313E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817ADF">
              <w:rPr>
                <w:rFonts w:ascii="Arial" w:hAnsi="Arial" w:cs="Arial"/>
                <w:lang w:val="es-MX" w:eastAsia="es-MX"/>
              </w:rPr>
              <w:t xml:space="preserve">Entrega – recepción                                                                        </w:t>
            </w:r>
          </w:p>
        </w:tc>
      </w:tr>
      <w:tr w:rsidR="00FA105F" w:rsidRPr="00817ADF" w14:paraId="45E29896" w14:textId="7777777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6F8" w14:textId="59E4815D" w:rsidR="00FA105F" w:rsidRPr="00817ADF" w:rsidRDefault="00FA105F" w:rsidP="00FA105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</w:rPr>
              <w:t>SE16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4C1F" w14:textId="6F78026A" w:rsidR="00FA105F" w:rsidRPr="00817ADF" w:rsidRDefault="00FA105F" w:rsidP="00FA105F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Registro de recepción de documentos y correspondencia externa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2DE9" w14:textId="5107923C" w:rsidR="00FA105F" w:rsidRPr="00817ADF" w:rsidRDefault="00FA105F" w:rsidP="00FA105F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10C.10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05CE" w14:textId="2A81F113" w:rsidR="00FA105F" w:rsidRPr="00817ADF" w:rsidRDefault="00FA105F" w:rsidP="00FA105F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Peticiones, sugerencias y recomendaciones</w:t>
            </w:r>
          </w:p>
        </w:tc>
      </w:tr>
    </w:tbl>
    <w:p w14:paraId="5ED258AC" w14:textId="77777777" w:rsidR="001313E2" w:rsidRPr="00817ADF" w:rsidRDefault="001313E2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E5BC7A6" w14:textId="77777777" w:rsidR="001313E2" w:rsidRPr="00817ADF" w:rsidRDefault="001313E2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266EAC0C" w14:textId="32C1DBC9" w:rsidR="00E30932" w:rsidRPr="00817ADF" w:rsidRDefault="00C40BB9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</w:rPr>
        <w:t xml:space="preserve">SEGUNDO. </w:t>
      </w:r>
      <w:r w:rsidRPr="00817ADF">
        <w:rPr>
          <w:rFonts w:ascii="Arial" w:hAnsi="Arial" w:cs="Arial"/>
        </w:rPr>
        <w:t>E</w:t>
      </w:r>
      <w:r w:rsidR="0053114A">
        <w:rPr>
          <w:rFonts w:ascii="Arial" w:hAnsi="Arial" w:cs="Arial"/>
        </w:rPr>
        <w:t xml:space="preserve">n este orden de ideas, con el objetivo señalado en el punto anterior, se </w:t>
      </w:r>
      <w:r w:rsidRPr="00817ADF">
        <w:rPr>
          <w:rFonts w:ascii="Arial" w:hAnsi="Arial" w:cs="Arial"/>
        </w:rPr>
        <w:t xml:space="preserve">emite la siguiente tabla </w:t>
      </w:r>
      <w:r w:rsidRPr="0053114A">
        <w:rPr>
          <w:rFonts w:ascii="Arial" w:hAnsi="Arial" w:cs="Arial"/>
        </w:rPr>
        <w:t xml:space="preserve">de </w:t>
      </w:r>
      <w:r w:rsidR="0053114A" w:rsidRPr="0053114A">
        <w:rPr>
          <w:rFonts w:ascii="Arial" w:hAnsi="Arial" w:cs="Arial"/>
        </w:rPr>
        <w:t>equivalencias</w:t>
      </w:r>
      <w:r w:rsidRPr="0053114A">
        <w:rPr>
          <w:rFonts w:ascii="Arial" w:hAnsi="Arial" w:cs="Arial"/>
        </w:rPr>
        <w:t xml:space="preserve"> para los expedientes formados </w:t>
      </w:r>
      <w:r w:rsidR="00E30932" w:rsidRPr="0053114A">
        <w:rPr>
          <w:rFonts w:ascii="Arial" w:hAnsi="Arial" w:cs="Arial"/>
        </w:rPr>
        <w:t xml:space="preserve">en términos de lo establecido en el </w:t>
      </w:r>
      <w:r w:rsidR="0053114A" w:rsidRPr="0053114A">
        <w:rPr>
          <w:rFonts w:ascii="Arial" w:hAnsi="Arial" w:cs="Arial"/>
        </w:rPr>
        <w:t>sexto</w:t>
      </w:r>
      <w:r w:rsidR="00E30932" w:rsidRPr="0053114A">
        <w:rPr>
          <w:rFonts w:ascii="Arial" w:hAnsi="Arial" w:cs="Arial"/>
        </w:rPr>
        <w:t xml:space="preserve"> antecedente del presente acuerdo.</w:t>
      </w:r>
      <w:r w:rsidR="00E30932" w:rsidRPr="00817ADF">
        <w:rPr>
          <w:rFonts w:ascii="Arial" w:hAnsi="Arial" w:cs="Arial"/>
        </w:rPr>
        <w:t xml:space="preserve">  </w:t>
      </w:r>
    </w:p>
    <w:p w14:paraId="024969DF" w14:textId="78D1C0A1" w:rsidR="00E30932" w:rsidRDefault="00E30932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33DE7C0" w14:textId="77777777" w:rsidR="0053114A" w:rsidRPr="00817ADF" w:rsidRDefault="0053114A" w:rsidP="0053114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3114A">
        <w:rPr>
          <w:rFonts w:ascii="Arial" w:hAnsi="Arial" w:cs="Arial"/>
          <w:b/>
          <w:bCs/>
          <w:color w:val="000000"/>
        </w:rPr>
        <w:t>Tabla de equivalencias de series documentales</w:t>
      </w:r>
      <w:r>
        <w:rPr>
          <w:rFonts w:ascii="Arial" w:hAnsi="Arial" w:cs="Arial"/>
          <w:color w:val="000000"/>
        </w:rPr>
        <w:t>.</w:t>
      </w:r>
    </w:p>
    <w:p w14:paraId="35F9F190" w14:textId="77777777" w:rsidR="0053114A" w:rsidRPr="00817ADF" w:rsidRDefault="0053114A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303"/>
        <w:gridCol w:w="1276"/>
        <w:gridCol w:w="3253"/>
      </w:tblGrid>
      <w:tr w:rsidR="00E30932" w:rsidRPr="00817ADF" w14:paraId="0A13E1DE" w14:textId="77777777" w:rsidTr="009A6670">
        <w:trPr>
          <w:trHeight w:val="49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775E141" w14:textId="0FC9F5E1" w:rsidR="00E30932" w:rsidRPr="00817ADF" w:rsidRDefault="00E30932" w:rsidP="00E309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Sección y series anteriores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6D08F3E" w14:textId="118E5B74" w:rsidR="00E30932" w:rsidRPr="00817ADF" w:rsidRDefault="00E30932" w:rsidP="00E309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FFFFFF" w:themeColor="background1"/>
                <w:lang w:val="es-MX" w:eastAsia="es-MX"/>
              </w:rPr>
              <w:t>Sección y series vigentes</w:t>
            </w:r>
          </w:p>
        </w:tc>
      </w:tr>
      <w:tr w:rsidR="00E30932" w:rsidRPr="00817ADF" w14:paraId="1E9AE902" w14:textId="57D2108E" w:rsidTr="009A6670">
        <w:trPr>
          <w:trHeight w:val="49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4AB6" w14:textId="77777777" w:rsidR="00E30932" w:rsidRPr="00817ADF" w:rsidRDefault="00E30932" w:rsidP="00E3093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Sección: 10C Control y Auditoría de Actividades Públicas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D1FDF0" w14:textId="3E799CA8" w:rsidR="00E30932" w:rsidRPr="00817ADF" w:rsidRDefault="00E30932" w:rsidP="00E3093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Sección: 10C Control y Auditoría de Actividades Públicas</w:t>
            </w:r>
          </w:p>
        </w:tc>
      </w:tr>
      <w:tr w:rsidR="00E30932" w:rsidRPr="00817ADF" w14:paraId="576659DD" w14:textId="0307BEAD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0BE" w14:textId="77777777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10C.02 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9A6" w14:textId="77777777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Programas y proyectos en materia de control y auditoría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F92C" w14:textId="6ACE68A2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10C.02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832" w14:textId="0B90F56F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Programas y proyectos en materia de control y auditoría           </w:t>
            </w:r>
          </w:p>
        </w:tc>
      </w:tr>
      <w:tr w:rsidR="00E30932" w:rsidRPr="00817ADF" w14:paraId="40D855BD" w14:textId="0E836C99" w:rsidTr="009A6670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54D8" w14:textId="77777777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10C.03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A8F9" w14:textId="77777777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Auditoría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658" w14:textId="53244A10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10C.03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D94F" w14:textId="323A1E22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Auditoría                                                                                            </w:t>
            </w:r>
          </w:p>
        </w:tc>
      </w:tr>
      <w:tr w:rsidR="00E30932" w:rsidRPr="00817ADF" w14:paraId="1E55C6FF" w14:textId="4042A096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21C" w14:textId="77777777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10C.06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CD5" w14:textId="77777777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Seguimiento a la aplicación en medidas o recomendaciones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926" w14:textId="4574A10A" w:rsidR="00E3093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10C.10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21E" w14:textId="3C212842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Peticiones, sugerencias y recomendaciones</w:t>
            </w:r>
          </w:p>
        </w:tc>
      </w:tr>
      <w:tr w:rsidR="00E30932" w:rsidRPr="00817ADF" w14:paraId="44A0BABA" w14:textId="3BE79AC1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047" w14:textId="77777777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10C.10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41C" w14:textId="77777777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Peticiones, sugerencias y recomendaciones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7D27" w14:textId="547060D1" w:rsidR="00E3093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10C.10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C07F" w14:textId="19A1ADDD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Peticiones, sugerencias y recomendaciones</w:t>
            </w:r>
          </w:p>
        </w:tc>
      </w:tr>
      <w:tr w:rsidR="00E30932" w:rsidRPr="00817ADF" w14:paraId="2179A470" w14:textId="196D8E92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26A" w14:textId="77777777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10C.11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C56" w14:textId="77777777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Responsabilidades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4EB" w14:textId="036162D0" w:rsidR="00E30932" w:rsidRPr="00817ADF" w:rsidRDefault="00E3093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10C.11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6FD" w14:textId="0D16F512" w:rsidR="00E30932" w:rsidRPr="00817ADF" w:rsidRDefault="00E30932" w:rsidP="00E3093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Responsabilidades Administrativas                                                                     </w:t>
            </w:r>
          </w:p>
        </w:tc>
      </w:tr>
      <w:tr w:rsidR="00184BE2" w:rsidRPr="00817ADF" w14:paraId="15798471" w14:textId="67C72A7B" w:rsidTr="009A6670">
        <w:trPr>
          <w:trHeight w:val="5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451" w14:textId="77777777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10C.12 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A24" w14:textId="77777777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Inconformidades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1283" w14:textId="557CB2B5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10C.10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90F7" w14:textId="1EAE692E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>Peticiones, sugerencias y recomendaciones</w:t>
            </w:r>
          </w:p>
        </w:tc>
      </w:tr>
      <w:tr w:rsidR="00184BE2" w:rsidRPr="00817ADF" w14:paraId="0EF811B9" w14:textId="76873D3A" w:rsidTr="009A6670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2F6" w14:textId="77777777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10C.13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B53F" w14:textId="77777777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Inhabilitaciones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C679" w14:textId="4DD4F5EF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10C.11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D0AF" w14:textId="7DEBA61D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Responsabilidades Administrativas                                                                     </w:t>
            </w:r>
          </w:p>
        </w:tc>
      </w:tr>
      <w:tr w:rsidR="00184BE2" w:rsidRPr="00817ADF" w14:paraId="429C4058" w14:textId="140691BC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5F8" w14:textId="77777777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lastRenderedPageBreak/>
              <w:t xml:space="preserve">10C.14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0B0A" w14:textId="77777777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Declaraciones patrimoniales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AF78" w14:textId="5E940412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10C.14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9B3" w14:textId="6F6CFEA7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Declaraciones patrimoniales                                                          </w:t>
            </w:r>
          </w:p>
        </w:tc>
      </w:tr>
      <w:tr w:rsidR="00184BE2" w:rsidRPr="00817ADF" w14:paraId="3A179CC0" w14:textId="4ADC7EE7" w:rsidTr="009A6670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545" w14:textId="77777777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10C.15 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816" w14:textId="77777777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Entrega – recepción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C3C2" w14:textId="43723DE2" w:rsidR="00184BE2" w:rsidRPr="00817ADF" w:rsidRDefault="00184BE2" w:rsidP="001313E2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10C.15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4CD2" w14:textId="10BCF2A0" w:rsidR="00184BE2" w:rsidRPr="00817ADF" w:rsidRDefault="00184BE2" w:rsidP="00184BE2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817ADF">
              <w:rPr>
                <w:rFonts w:ascii="Arial" w:hAnsi="Arial" w:cs="Arial"/>
                <w:color w:val="000000"/>
                <w:lang w:val="es-MX" w:eastAsia="es-MX"/>
              </w:rPr>
              <w:t xml:space="preserve">Entrega – recepción                                                                        </w:t>
            </w:r>
          </w:p>
        </w:tc>
      </w:tr>
    </w:tbl>
    <w:p w14:paraId="32A7CA7F" w14:textId="2E422E15" w:rsidR="0053114A" w:rsidRDefault="0053114A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BEEA37C" w14:textId="704B70C3" w:rsidR="00C111CA" w:rsidRDefault="00C111CA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931D27E" w14:textId="77777777" w:rsidR="009A6670" w:rsidRDefault="009A6670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3377EC85" w14:textId="2009D893" w:rsidR="0055514A" w:rsidRPr="009E6790" w:rsidRDefault="0053114A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TERCERO</w:t>
      </w:r>
      <w:r w:rsidR="00CB6C69" w:rsidRPr="00817ADF">
        <w:rPr>
          <w:rFonts w:ascii="Arial" w:hAnsi="Arial" w:cs="Arial"/>
          <w:b/>
          <w:bCs/>
          <w:color w:val="000000"/>
        </w:rPr>
        <w:t>.</w:t>
      </w:r>
      <w:r w:rsidR="000878B1">
        <w:rPr>
          <w:rFonts w:ascii="Arial" w:hAnsi="Arial" w:cs="Arial"/>
          <w:color w:val="000000"/>
        </w:rPr>
        <w:t xml:space="preserve"> A</w:t>
      </w:r>
      <w:r w:rsidR="009E6790">
        <w:rPr>
          <w:rFonts w:ascii="Arial" w:hAnsi="Arial" w:cs="Arial"/>
          <w:color w:val="000000"/>
        </w:rPr>
        <w:t>quellos expedientes formados previo a la entrada en vigor de los</w:t>
      </w:r>
      <w:r w:rsidR="009E6790" w:rsidRPr="009E6790">
        <w:t xml:space="preserve"> </w:t>
      </w:r>
      <w:r w:rsidR="009E6790" w:rsidRPr="009E6790">
        <w:rPr>
          <w:rFonts w:ascii="Arial" w:hAnsi="Arial" w:cs="Arial"/>
          <w:color w:val="000000"/>
        </w:rPr>
        <w:t>instrumentos de control y de consulta archivísticos</w:t>
      </w:r>
      <w:r w:rsidR="00B24A95">
        <w:rPr>
          <w:rFonts w:ascii="Arial" w:hAnsi="Arial" w:cs="Arial"/>
          <w:color w:val="000000"/>
        </w:rPr>
        <w:t xml:space="preserve">, </w:t>
      </w:r>
      <w:r w:rsidR="009E6790" w:rsidRPr="009E6790">
        <w:rPr>
          <w:rFonts w:ascii="Arial" w:hAnsi="Arial" w:cs="Arial"/>
          <w:color w:val="000000"/>
        </w:rPr>
        <w:t>aprobados mediante la vigésima quinta sesión ordinaria de 2017 dos mil diecisiete de la Comisión de Transparencia y Acceso a la Información del Estado de Nuevo León, celebrada el 28 veintiocho de junio de 2017 dos mil diecisiete</w:t>
      </w:r>
      <w:r w:rsidR="00D10320">
        <w:rPr>
          <w:rFonts w:ascii="Arial" w:hAnsi="Arial" w:cs="Arial"/>
          <w:color w:val="000000"/>
        </w:rPr>
        <w:t>, deberá</w:t>
      </w:r>
      <w:r w:rsidR="000878B1">
        <w:rPr>
          <w:rFonts w:ascii="Arial" w:hAnsi="Arial" w:cs="Arial"/>
          <w:color w:val="000000"/>
        </w:rPr>
        <w:t xml:space="preserve">n ser homologados conforme a los instrumentos de archivo vigentes al momento de la aprobación del presente acuerdo. </w:t>
      </w:r>
    </w:p>
    <w:p w14:paraId="583CA938" w14:textId="2FA2716B" w:rsidR="0055514A" w:rsidRDefault="0055514A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5E5DE1B" w14:textId="77777777" w:rsidR="00D10320" w:rsidRDefault="00D10320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8FCC69F" w14:textId="77D27ED0" w:rsidR="00996E3F" w:rsidRPr="00817ADF" w:rsidRDefault="0055514A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CUARTO. </w:t>
      </w:r>
      <w:r w:rsidR="00FA105F" w:rsidRPr="00817ADF">
        <w:rPr>
          <w:rFonts w:ascii="Arial" w:hAnsi="Arial" w:cs="Arial"/>
          <w:color w:val="000000"/>
        </w:rPr>
        <w:t>Con motivo de las tablas de aplicabilidad</w:t>
      </w:r>
      <w:r w:rsidR="000878B1">
        <w:rPr>
          <w:rFonts w:ascii="Arial" w:hAnsi="Arial" w:cs="Arial"/>
          <w:color w:val="000000"/>
        </w:rPr>
        <w:t xml:space="preserve"> y el pronunciamiento</w:t>
      </w:r>
      <w:r w:rsidR="00FA105F" w:rsidRPr="00817ADF">
        <w:rPr>
          <w:rFonts w:ascii="Arial" w:hAnsi="Arial" w:cs="Arial"/>
          <w:color w:val="000000"/>
        </w:rPr>
        <w:t xml:space="preserve"> emiti</w:t>
      </w:r>
      <w:r w:rsidR="000878B1">
        <w:rPr>
          <w:rFonts w:ascii="Arial" w:hAnsi="Arial" w:cs="Arial"/>
          <w:color w:val="000000"/>
        </w:rPr>
        <w:t>dos</w:t>
      </w:r>
      <w:r w:rsidR="00FA105F" w:rsidRPr="00817ADF">
        <w:rPr>
          <w:rFonts w:ascii="Arial" w:hAnsi="Arial" w:cs="Arial"/>
          <w:color w:val="000000"/>
        </w:rPr>
        <w:t xml:space="preserve"> en los puntos de acuerdo anteriores, se </w:t>
      </w:r>
      <w:r w:rsidR="00996E3F" w:rsidRPr="00817ADF">
        <w:rPr>
          <w:rFonts w:ascii="Arial" w:hAnsi="Arial" w:cs="Arial"/>
          <w:color w:val="000000"/>
        </w:rPr>
        <w:t xml:space="preserve">determina que los responsables de archivo de trámite de las unidades que conforman este Órgano Interno de Control deberán integrar -encima de la carátula actual de los expedientes- la </w:t>
      </w:r>
      <w:r w:rsidR="00D52454">
        <w:rPr>
          <w:rFonts w:ascii="Arial" w:hAnsi="Arial" w:cs="Arial"/>
          <w:color w:val="000000"/>
        </w:rPr>
        <w:t>acorde</w:t>
      </w:r>
      <w:r w:rsidR="00996E3F" w:rsidRPr="00817ADF">
        <w:rPr>
          <w:rFonts w:ascii="Arial" w:hAnsi="Arial" w:cs="Arial"/>
          <w:color w:val="000000"/>
        </w:rPr>
        <w:t xml:space="preserve"> a la tabla de aplicabilidad </w:t>
      </w:r>
      <w:r w:rsidR="00D52454">
        <w:rPr>
          <w:rFonts w:ascii="Arial" w:hAnsi="Arial" w:cs="Arial"/>
          <w:color w:val="000000"/>
        </w:rPr>
        <w:t>que corresponda</w:t>
      </w:r>
      <w:r w:rsidR="002460AA">
        <w:rPr>
          <w:rFonts w:ascii="Arial" w:hAnsi="Arial" w:cs="Arial"/>
          <w:color w:val="000000"/>
        </w:rPr>
        <w:t xml:space="preserve">, </w:t>
      </w:r>
      <w:r w:rsidR="00996E3F" w:rsidRPr="00817ADF">
        <w:rPr>
          <w:rFonts w:ascii="Arial" w:hAnsi="Arial" w:cs="Arial"/>
          <w:color w:val="000000"/>
        </w:rPr>
        <w:t xml:space="preserve">en términos del presente acuerdo. </w:t>
      </w:r>
    </w:p>
    <w:p w14:paraId="6C8DC169" w14:textId="77777777" w:rsidR="009A0C51" w:rsidRDefault="009A0C51" w:rsidP="00996E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AF5099B" w14:textId="57C2F069" w:rsidR="00CB6C69" w:rsidRPr="00817ADF" w:rsidRDefault="00CB6C69" w:rsidP="00996E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ARTÍCULOS TRANSITORIOS</w:t>
      </w:r>
    </w:p>
    <w:p w14:paraId="72CD2504" w14:textId="01472F2F" w:rsidR="0000566C" w:rsidRPr="00817ADF" w:rsidRDefault="0000566C" w:rsidP="00996E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2E9D60C" w14:textId="77777777" w:rsidR="00996E3F" w:rsidRPr="00817ADF" w:rsidRDefault="00996E3F" w:rsidP="00996E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DFAE940" w14:textId="130CAA2F" w:rsidR="004D4627" w:rsidRDefault="0009300F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ÚNICO</w:t>
      </w:r>
      <w:r w:rsidR="00CB6C69" w:rsidRPr="00817ADF">
        <w:rPr>
          <w:rFonts w:ascii="Arial" w:hAnsi="Arial" w:cs="Arial"/>
          <w:color w:val="000000"/>
        </w:rPr>
        <w:t xml:space="preserve">. </w:t>
      </w:r>
      <w:r w:rsidRPr="00817ADF">
        <w:rPr>
          <w:rFonts w:ascii="Arial" w:hAnsi="Arial" w:cs="Arial"/>
          <w:color w:val="000000"/>
        </w:rPr>
        <w:t xml:space="preserve">El presente acuerdo entrará en vigor a partir del </w:t>
      </w:r>
      <w:r w:rsidR="00996E3F" w:rsidRPr="00817ADF">
        <w:rPr>
          <w:rFonts w:ascii="Arial" w:hAnsi="Arial" w:cs="Arial"/>
          <w:color w:val="000000"/>
        </w:rPr>
        <w:t>momento de su emisión</w:t>
      </w:r>
      <w:r w:rsidRPr="00817ADF">
        <w:rPr>
          <w:rFonts w:ascii="Arial" w:hAnsi="Arial" w:cs="Arial"/>
          <w:color w:val="000000"/>
        </w:rPr>
        <w:t xml:space="preserve">, </w:t>
      </w:r>
      <w:r w:rsidR="004D4627" w:rsidRPr="00817ADF">
        <w:rPr>
          <w:rFonts w:ascii="Arial" w:hAnsi="Arial" w:cs="Arial"/>
          <w:color w:val="000000"/>
        </w:rPr>
        <w:t>y</w:t>
      </w:r>
      <w:r w:rsidRPr="00817ADF">
        <w:rPr>
          <w:rFonts w:ascii="Arial" w:hAnsi="Arial" w:cs="Arial"/>
          <w:color w:val="000000"/>
        </w:rPr>
        <w:t xml:space="preserve"> </w:t>
      </w:r>
      <w:r w:rsidR="00CB6C69" w:rsidRPr="00817ADF">
        <w:rPr>
          <w:rFonts w:ascii="Arial" w:hAnsi="Arial" w:cs="Arial"/>
          <w:color w:val="000000"/>
        </w:rPr>
        <w:t xml:space="preserve">deberá </w:t>
      </w:r>
      <w:r w:rsidR="00996E3F" w:rsidRPr="00817ADF">
        <w:rPr>
          <w:rFonts w:ascii="Arial" w:hAnsi="Arial" w:cs="Arial"/>
          <w:color w:val="000000"/>
        </w:rPr>
        <w:t>comunicarse vía correo electrónico a la Dirección de Gestión Documental y Archivo</w:t>
      </w:r>
      <w:r w:rsidR="004D4627" w:rsidRPr="00817ADF">
        <w:rPr>
          <w:rFonts w:ascii="Arial" w:hAnsi="Arial" w:cs="Arial"/>
          <w:color w:val="000000"/>
        </w:rPr>
        <w:t>, Coordinación de Archivo de Trámite, Coordinación de Investigación Quejas y Denuncias, Coordinación de Responsabilidades Administrativas y Coordinación de Auditoría e Inspección.</w:t>
      </w:r>
    </w:p>
    <w:p w14:paraId="67E97A41" w14:textId="77777777" w:rsidR="009A6670" w:rsidRPr="00817ADF" w:rsidRDefault="009A6670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7CF463" w14:textId="5BDEBF78" w:rsidR="0009300F" w:rsidRPr="00817ADF" w:rsidRDefault="0009300F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color w:val="000000"/>
        </w:rPr>
        <w:t xml:space="preserve">Dado en la ciudad de Monterrey, </w:t>
      </w:r>
      <w:r w:rsidR="004D4627" w:rsidRPr="00817ADF">
        <w:rPr>
          <w:rFonts w:ascii="Arial" w:hAnsi="Arial" w:cs="Arial"/>
          <w:color w:val="000000"/>
        </w:rPr>
        <w:t xml:space="preserve">Nuevo León, </w:t>
      </w:r>
      <w:r w:rsidR="00A61895" w:rsidRPr="00817ADF">
        <w:rPr>
          <w:rFonts w:ascii="Arial" w:hAnsi="Arial" w:cs="Arial"/>
          <w:color w:val="000000"/>
        </w:rPr>
        <w:t xml:space="preserve">el día </w:t>
      </w:r>
      <w:r w:rsidR="009A6670">
        <w:rPr>
          <w:rFonts w:ascii="Arial" w:hAnsi="Arial" w:cs="Arial"/>
          <w:color w:val="000000"/>
        </w:rPr>
        <w:t xml:space="preserve">20 veinte </w:t>
      </w:r>
      <w:r w:rsidR="00F20564">
        <w:rPr>
          <w:rFonts w:ascii="Arial" w:hAnsi="Arial" w:cs="Arial"/>
          <w:color w:val="000000"/>
        </w:rPr>
        <w:t xml:space="preserve">de abril </w:t>
      </w:r>
      <w:r w:rsidR="00A61895" w:rsidRPr="00817ADF">
        <w:rPr>
          <w:rFonts w:ascii="Arial" w:hAnsi="Arial" w:cs="Arial"/>
          <w:color w:val="000000"/>
        </w:rPr>
        <w:t xml:space="preserve">del año </w:t>
      </w:r>
      <w:r w:rsidR="004D4627" w:rsidRPr="00817ADF">
        <w:rPr>
          <w:rFonts w:ascii="Arial" w:hAnsi="Arial" w:cs="Arial"/>
          <w:color w:val="000000"/>
        </w:rPr>
        <w:t xml:space="preserve">2022 </w:t>
      </w:r>
      <w:r w:rsidR="00A61895" w:rsidRPr="00817ADF">
        <w:rPr>
          <w:rFonts w:ascii="Arial" w:hAnsi="Arial" w:cs="Arial"/>
          <w:color w:val="000000"/>
        </w:rPr>
        <w:t xml:space="preserve">dos mil </w:t>
      </w:r>
      <w:r w:rsidR="004D4627" w:rsidRPr="00817ADF">
        <w:rPr>
          <w:rFonts w:ascii="Arial" w:hAnsi="Arial" w:cs="Arial"/>
          <w:color w:val="000000"/>
        </w:rPr>
        <w:t>veintidós</w:t>
      </w:r>
      <w:r w:rsidR="00A61895" w:rsidRPr="00817ADF">
        <w:rPr>
          <w:rFonts w:ascii="Arial" w:hAnsi="Arial" w:cs="Arial"/>
          <w:color w:val="000000"/>
        </w:rPr>
        <w:t>.</w:t>
      </w:r>
    </w:p>
    <w:p w14:paraId="7DB6DC67" w14:textId="6B3257DF" w:rsidR="00A61895" w:rsidRPr="00817ADF" w:rsidRDefault="00A61895" w:rsidP="00CB6C69">
      <w:pPr>
        <w:pStyle w:val="NormalWeb"/>
        <w:jc w:val="both"/>
        <w:rPr>
          <w:rFonts w:ascii="Arial" w:hAnsi="Arial" w:cs="Arial"/>
          <w:color w:val="000000"/>
        </w:rPr>
      </w:pPr>
    </w:p>
    <w:p w14:paraId="0561FAFB" w14:textId="1AE61121" w:rsidR="00A61895" w:rsidRPr="00817ADF" w:rsidRDefault="00A61895" w:rsidP="00CB6C69">
      <w:pPr>
        <w:pStyle w:val="NormalWeb"/>
        <w:jc w:val="both"/>
        <w:rPr>
          <w:rFonts w:ascii="Arial" w:hAnsi="Arial" w:cs="Arial"/>
          <w:color w:val="000000"/>
        </w:rPr>
      </w:pPr>
    </w:p>
    <w:p w14:paraId="072BDD55" w14:textId="5A3DEBD1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Licenciado José Adrián López Frausto. </w:t>
      </w:r>
    </w:p>
    <w:p w14:paraId="4514384D" w14:textId="1AC7A7CB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Titular del Órgano Interno de Control de la Comisión de</w:t>
      </w:r>
    </w:p>
    <w:p w14:paraId="787CD3A9" w14:textId="17E4D96E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Transparencia y Acceso a la Información del Estado. </w:t>
      </w:r>
    </w:p>
    <w:p w14:paraId="756B700C" w14:textId="0FC350D7" w:rsidR="002854D4" w:rsidRPr="00817ADF" w:rsidRDefault="002854D4" w:rsidP="004D4627">
      <w:pPr>
        <w:pStyle w:val="Encabezado"/>
        <w:jc w:val="both"/>
        <w:rPr>
          <w:lang w:val="es-MX"/>
        </w:rPr>
      </w:pPr>
    </w:p>
    <w:sectPr w:rsidR="002854D4" w:rsidRPr="00817ADF" w:rsidSect="009A6670">
      <w:headerReference w:type="default" r:id="rId7"/>
      <w:footerReference w:type="default" r:id="rId8"/>
      <w:pgSz w:w="12240" w:h="15840" w:code="1"/>
      <w:pgMar w:top="1985" w:right="1185" w:bottom="1701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31B6" w14:textId="77777777" w:rsidR="00A233BF" w:rsidRDefault="00A233BF" w:rsidP="00A233BF">
      <w:r>
        <w:separator/>
      </w:r>
    </w:p>
  </w:endnote>
  <w:endnote w:type="continuationSeparator" w:id="0">
    <w:p w14:paraId="0455E3E4" w14:textId="77777777" w:rsidR="00A233BF" w:rsidRDefault="00A233BF" w:rsidP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A" w14:textId="66EA2A60" w:rsidR="00C50DFE" w:rsidRPr="00D234AF" w:rsidRDefault="00C50DFE" w:rsidP="00C50DFE">
    <w:pPr>
      <w:pStyle w:val="Piedepgina"/>
      <w:ind w:left="2661" w:firstLine="4419"/>
      <w:rPr>
        <w:rFonts w:ascii="Arial" w:hAnsi="Arial" w:cs="Arial"/>
      </w:rPr>
    </w:pPr>
    <w:r w:rsidRPr="00D234AF">
      <w:rPr>
        <w:rFonts w:ascii="Arial" w:hAnsi="Arial" w:cs="Arial"/>
      </w:rPr>
      <w:t xml:space="preserve">Página </w:t>
    </w:r>
    <w:r w:rsidRPr="00D234AF">
      <w:rPr>
        <w:rFonts w:ascii="Arial" w:hAnsi="Arial" w:cs="Arial"/>
        <w:b/>
      </w:rPr>
      <w:fldChar w:fldCharType="begin"/>
    </w:r>
    <w:r w:rsidRPr="00D234AF">
      <w:rPr>
        <w:rFonts w:ascii="Arial" w:hAnsi="Arial" w:cs="Arial"/>
        <w:b/>
      </w:rPr>
      <w:instrText>PAGE</w:instrText>
    </w:r>
    <w:r w:rsidRPr="00D234AF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D234AF">
      <w:rPr>
        <w:rFonts w:ascii="Arial" w:hAnsi="Arial" w:cs="Arial"/>
        <w:b/>
      </w:rPr>
      <w:fldChar w:fldCharType="end"/>
    </w:r>
    <w:r w:rsidRPr="00D234AF">
      <w:rPr>
        <w:rFonts w:ascii="Arial" w:hAnsi="Arial" w:cs="Arial"/>
      </w:rPr>
      <w:t xml:space="preserve"> de </w:t>
    </w:r>
    <w:r w:rsidRPr="00D234AF">
      <w:rPr>
        <w:rFonts w:ascii="Arial" w:hAnsi="Arial" w:cs="Arial"/>
        <w:b/>
      </w:rPr>
      <w:fldChar w:fldCharType="begin"/>
    </w:r>
    <w:r w:rsidRPr="00D234AF">
      <w:rPr>
        <w:rFonts w:ascii="Arial" w:hAnsi="Arial" w:cs="Arial"/>
        <w:b/>
      </w:rPr>
      <w:instrText>NUMPAGES</w:instrText>
    </w:r>
    <w:r w:rsidRPr="00D234AF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3</w:t>
    </w:r>
    <w:r w:rsidRPr="00D234AF">
      <w:rPr>
        <w:rFonts w:ascii="Arial" w:hAnsi="Arial" w:cs="Arial"/>
        <w:b/>
      </w:rPr>
      <w:fldChar w:fldCharType="end"/>
    </w:r>
  </w:p>
  <w:p w14:paraId="56756D7F" w14:textId="77777777" w:rsidR="00C50DFE" w:rsidRDefault="00C50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BE47" w14:textId="77777777" w:rsidR="00A233BF" w:rsidRDefault="00A233BF" w:rsidP="00A233BF">
      <w:r>
        <w:separator/>
      </w:r>
    </w:p>
  </w:footnote>
  <w:footnote w:type="continuationSeparator" w:id="0">
    <w:p w14:paraId="546B06F4" w14:textId="77777777" w:rsidR="00A233BF" w:rsidRDefault="00A233BF" w:rsidP="00A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EDE7" w14:textId="1159DE22" w:rsidR="00A233BF" w:rsidRDefault="008628A3" w:rsidP="00CD6EDD">
    <w:pPr>
      <w:pStyle w:val="Encabezado"/>
      <w:ind w:left="-2268"/>
    </w:pPr>
    <w:bookmarkStart w:id="0" w:name="_Hlk61252338"/>
    <w:r>
      <w:rPr>
        <w:noProof/>
      </w:rPr>
      <w:drawing>
        <wp:inline distT="0" distB="0" distL="0" distR="0" wp14:anchorId="283A2B97" wp14:editId="7B5B99D8">
          <wp:extent cx="7955811" cy="1114425"/>
          <wp:effectExtent l="0" t="0" r="762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55" cy="114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6D1"/>
    <w:multiLevelType w:val="hybridMultilevel"/>
    <w:tmpl w:val="AE104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5179"/>
    <w:multiLevelType w:val="hybridMultilevel"/>
    <w:tmpl w:val="03E8548E"/>
    <w:lvl w:ilvl="0" w:tplc="2E3C3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146A54"/>
    <w:multiLevelType w:val="hybridMultilevel"/>
    <w:tmpl w:val="BF085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2E1B"/>
    <w:multiLevelType w:val="hybridMultilevel"/>
    <w:tmpl w:val="1D24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C27"/>
    <w:multiLevelType w:val="hybridMultilevel"/>
    <w:tmpl w:val="0FF4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1900"/>
    <w:multiLevelType w:val="hybridMultilevel"/>
    <w:tmpl w:val="9CAA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73169">
    <w:abstractNumId w:val="3"/>
  </w:num>
  <w:num w:numId="2" w16cid:durableId="1342050361">
    <w:abstractNumId w:val="5"/>
  </w:num>
  <w:num w:numId="3" w16cid:durableId="1779520112">
    <w:abstractNumId w:val="2"/>
  </w:num>
  <w:num w:numId="4" w16cid:durableId="1068111312">
    <w:abstractNumId w:val="0"/>
  </w:num>
  <w:num w:numId="5" w16cid:durableId="1671980478">
    <w:abstractNumId w:val="1"/>
  </w:num>
  <w:num w:numId="6" w16cid:durableId="1595867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0"/>
    <w:rsid w:val="0000566C"/>
    <w:rsid w:val="00064ECA"/>
    <w:rsid w:val="000878B1"/>
    <w:rsid w:val="0009300F"/>
    <w:rsid w:val="000A05D9"/>
    <w:rsid w:val="000B4D6D"/>
    <w:rsid w:val="000B57D2"/>
    <w:rsid w:val="000C74F6"/>
    <w:rsid w:val="001313E2"/>
    <w:rsid w:val="00135527"/>
    <w:rsid w:val="0013696B"/>
    <w:rsid w:val="001719EE"/>
    <w:rsid w:val="00184BE2"/>
    <w:rsid w:val="001A6BE4"/>
    <w:rsid w:val="001D3BF0"/>
    <w:rsid w:val="001E02DD"/>
    <w:rsid w:val="00210D2E"/>
    <w:rsid w:val="00242AF7"/>
    <w:rsid w:val="002460AA"/>
    <w:rsid w:val="00264078"/>
    <w:rsid w:val="002854D4"/>
    <w:rsid w:val="002A088C"/>
    <w:rsid w:val="002B18EC"/>
    <w:rsid w:val="003055FC"/>
    <w:rsid w:val="00344071"/>
    <w:rsid w:val="003A0F97"/>
    <w:rsid w:val="003A729E"/>
    <w:rsid w:val="003B61E7"/>
    <w:rsid w:val="003E47A4"/>
    <w:rsid w:val="003E5528"/>
    <w:rsid w:val="003F58A8"/>
    <w:rsid w:val="00427878"/>
    <w:rsid w:val="00452BFA"/>
    <w:rsid w:val="004A132F"/>
    <w:rsid w:val="004B50E5"/>
    <w:rsid w:val="004D4627"/>
    <w:rsid w:val="0053114A"/>
    <w:rsid w:val="005368FB"/>
    <w:rsid w:val="0055514A"/>
    <w:rsid w:val="005F239B"/>
    <w:rsid w:val="00615DB4"/>
    <w:rsid w:val="00666357"/>
    <w:rsid w:val="006A418F"/>
    <w:rsid w:val="006C6FB7"/>
    <w:rsid w:val="006D577A"/>
    <w:rsid w:val="007011EC"/>
    <w:rsid w:val="00720B2E"/>
    <w:rsid w:val="007F5757"/>
    <w:rsid w:val="00817ADF"/>
    <w:rsid w:val="008628A3"/>
    <w:rsid w:val="008B2B49"/>
    <w:rsid w:val="009300F8"/>
    <w:rsid w:val="00930493"/>
    <w:rsid w:val="009425A6"/>
    <w:rsid w:val="009568E2"/>
    <w:rsid w:val="009768A8"/>
    <w:rsid w:val="00996E3F"/>
    <w:rsid w:val="009A0C51"/>
    <w:rsid w:val="009A6670"/>
    <w:rsid w:val="009C6004"/>
    <w:rsid w:val="009E6790"/>
    <w:rsid w:val="009F5340"/>
    <w:rsid w:val="00A233BF"/>
    <w:rsid w:val="00A61895"/>
    <w:rsid w:val="00AC4DCB"/>
    <w:rsid w:val="00AE3A01"/>
    <w:rsid w:val="00B12E57"/>
    <w:rsid w:val="00B24A95"/>
    <w:rsid w:val="00B77632"/>
    <w:rsid w:val="00BB1688"/>
    <w:rsid w:val="00BC5627"/>
    <w:rsid w:val="00BE36B9"/>
    <w:rsid w:val="00BF1766"/>
    <w:rsid w:val="00C111CA"/>
    <w:rsid w:val="00C12E36"/>
    <w:rsid w:val="00C35F4E"/>
    <w:rsid w:val="00C40BB9"/>
    <w:rsid w:val="00C50DFE"/>
    <w:rsid w:val="00C87C8E"/>
    <w:rsid w:val="00CB6C69"/>
    <w:rsid w:val="00CC17C4"/>
    <w:rsid w:val="00CD6EDD"/>
    <w:rsid w:val="00D10320"/>
    <w:rsid w:val="00D105E0"/>
    <w:rsid w:val="00D11684"/>
    <w:rsid w:val="00D37CA7"/>
    <w:rsid w:val="00D52454"/>
    <w:rsid w:val="00D5681A"/>
    <w:rsid w:val="00D64A1E"/>
    <w:rsid w:val="00E03A31"/>
    <w:rsid w:val="00E07866"/>
    <w:rsid w:val="00E30932"/>
    <w:rsid w:val="00E42A37"/>
    <w:rsid w:val="00E76F91"/>
    <w:rsid w:val="00EE459E"/>
    <w:rsid w:val="00F15BA7"/>
    <w:rsid w:val="00F20564"/>
    <w:rsid w:val="00F3108E"/>
    <w:rsid w:val="00F652D7"/>
    <w:rsid w:val="00F96D1E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3B1AC6E"/>
  <w15:chartTrackingRefBased/>
  <w15:docId w15:val="{DD7D99BB-C654-4BCD-AFE1-D685242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B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3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3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3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233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6C69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C40B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1696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Rolando Macías Saucedo</dc:creator>
  <cp:keywords/>
  <dc:description/>
  <cp:lastModifiedBy>Coordinador de responsabilidades administrativas</cp:lastModifiedBy>
  <cp:revision>14</cp:revision>
  <cp:lastPrinted>2022-05-20T17:14:00Z</cp:lastPrinted>
  <dcterms:created xsi:type="dcterms:W3CDTF">2021-05-31T20:48:00Z</dcterms:created>
  <dcterms:modified xsi:type="dcterms:W3CDTF">2022-05-20T17:14:00Z</dcterms:modified>
</cp:coreProperties>
</file>